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D04F" w14:textId="77777777" w:rsidR="006C7E68" w:rsidRPr="000A3B15" w:rsidRDefault="00095062" w:rsidP="00AD063D">
      <w:pPr>
        <w:pStyle w:val="Title"/>
        <w:pBdr>
          <w:bottom w:val="single" w:sz="4" w:space="1" w:color="auto"/>
        </w:pBdr>
        <w:spacing w:after="120"/>
        <w:rPr>
          <w:color w:val="CF7224"/>
          <w:sz w:val="46"/>
          <w:szCs w:val="46"/>
          <w:lang w:val="en-US"/>
        </w:rPr>
      </w:pPr>
      <w:bookmarkStart w:id="0" w:name="_GoBack"/>
      <w:bookmarkEnd w:id="0"/>
      <w:r w:rsidRPr="000A3B15">
        <w:rPr>
          <w:color w:val="CF7224"/>
          <w:sz w:val="46"/>
          <w:szCs w:val="46"/>
          <w:lang w:val="en-US"/>
        </w:rPr>
        <w:t>Rhodoshop</w:t>
      </w:r>
    </w:p>
    <w:p w14:paraId="50073A2B" w14:textId="77777777" w:rsidR="0020178F" w:rsidRPr="000A3B15" w:rsidRDefault="00095062" w:rsidP="00AD063D">
      <w:pPr>
        <w:pStyle w:val="Subtitle"/>
        <w:rPr>
          <w:color w:val="CF7224"/>
          <w:lang w:val="en-US"/>
        </w:rPr>
      </w:pPr>
      <w:r w:rsidRPr="000A3B15">
        <w:rPr>
          <w:color w:val="CF7224"/>
          <w:lang w:val="en-US"/>
        </w:rPr>
        <w:t>Rhodope Region</w:t>
      </w:r>
      <w:r w:rsidR="00AC1CFB" w:rsidRPr="000A3B15">
        <w:rPr>
          <w:color w:val="CF7224"/>
          <w:lang w:val="en-US"/>
        </w:rPr>
        <w:t xml:space="preserve"> </w:t>
      </w:r>
      <w:r w:rsidR="00AD063D" w:rsidRPr="000A3B15">
        <w:rPr>
          <w:color w:val="CF7224"/>
          <w:lang w:val="en-US"/>
        </w:rPr>
        <w:t>–</w:t>
      </w:r>
      <w:r w:rsidR="00746BA2" w:rsidRPr="000A3B15">
        <w:rPr>
          <w:color w:val="CF7224"/>
          <w:lang w:val="en-US"/>
        </w:rPr>
        <w:t xml:space="preserve"> </w:t>
      </w:r>
      <w:r w:rsidR="0078637C" w:rsidRPr="000A3B15">
        <w:rPr>
          <w:color w:val="CF7224"/>
          <w:lang w:val="en-US"/>
        </w:rPr>
        <w:t>B</w:t>
      </w:r>
      <w:r w:rsidRPr="000A3B15">
        <w:rPr>
          <w:color w:val="CF7224"/>
          <w:lang w:val="en-US"/>
        </w:rPr>
        <w:t>ulgaria</w:t>
      </w:r>
      <w:r w:rsidR="00AD063D" w:rsidRPr="000A3B15">
        <w:rPr>
          <w:color w:val="CF7224"/>
          <w:lang w:val="en-US"/>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7E41BD" w:rsidRPr="000A3B15" w14:paraId="2224AD10" w14:textId="77777777"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14:paraId="404F6ACC" w14:textId="77777777" w:rsidR="007E41BD" w:rsidRPr="000A3B15" w:rsidRDefault="00942290" w:rsidP="00141755">
            <w:pPr>
              <w:pStyle w:val="NoSpacing"/>
              <w:rPr>
                <w:rStyle w:val="Emphasis"/>
                <w:sz w:val="24"/>
                <w:szCs w:val="24"/>
                <w:lang w:val="en-US"/>
              </w:rPr>
            </w:pPr>
            <w:r w:rsidRPr="000A3B15">
              <w:rPr>
                <w:rStyle w:val="Emphasis"/>
                <w:sz w:val="24"/>
                <w:szCs w:val="24"/>
                <w:lang w:val="en-US"/>
              </w:rPr>
              <w:t>OWNERSHIP</w:t>
            </w:r>
          </w:p>
        </w:tc>
        <w:tc>
          <w:tcPr>
            <w:tcW w:w="6804" w:type="dxa"/>
            <w:tcBorders>
              <w:top w:val="single" w:sz="24" w:space="0" w:color="CF7224"/>
              <w:bottom w:val="single" w:sz="24" w:space="0" w:color="CF7224"/>
            </w:tcBorders>
            <w:shd w:val="clear" w:color="auto" w:fill="CF7224"/>
          </w:tcPr>
          <w:p w14:paraId="41C0F285" w14:textId="77777777" w:rsidR="007E41BD" w:rsidRPr="000A3B15" w:rsidRDefault="007E41BD" w:rsidP="00C44B60">
            <w:pPr>
              <w:cnfStyle w:val="100000000000" w:firstRow="1" w:lastRow="0" w:firstColumn="0" w:lastColumn="0" w:oddVBand="0" w:evenVBand="0" w:oddHBand="0" w:evenHBand="0" w:firstRowFirstColumn="0" w:firstRowLastColumn="0" w:lastRowFirstColumn="0" w:lastRowLastColumn="0"/>
              <w:rPr>
                <w:sz w:val="24"/>
                <w:szCs w:val="24"/>
                <w:lang w:val="en-US"/>
              </w:rPr>
            </w:pPr>
            <w:r w:rsidRPr="000A3B15">
              <w:rPr>
                <w:sz w:val="24"/>
                <w:szCs w:val="24"/>
                <w:lang w:val="en-US"/>
              </w:rPr>
              <w:t>PUBLIC</w:t>
            </w:r>
          </w:p>
        </w:tc>
      </w:tr>
      <w:tr w:rsidR="00141755" w:rsidRPr="000A3B15" w14:paraId="02C6A8AC"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14:paraId="741002FF" w14:textId="77777777" w:rsidR="00141755" w:rsidRPr="000A3B15" w:rsidRDefault="00B437D7" w:rsidP="00B437D7">
            <w:pPr>
              <w:pStyle w:val="NoSpacing"/>
              <w:rPr>
                <w:rStyle w:val="Emphasis"/>
                <w:lang w:val="en-US"/>
              </w:rPr>
            </w:pPr>
            <w:r w:rsidRPr="000A3B15">
              <w:rPr>
                <w:rStyle w:val="Emphasis"/>
                <w:lang w:val="en-US"/>
              </w:rPr>
              <w:t>Program authority</w:t>
            </w:r>
          </w:p>
        </w:tc>
        <w:tc>
          <w:tcPr>
            <w:tcW w:w="6804" w:type="dxa"/>
            <w:tcBorders>
              <w:top w:val="single" w:sz="4" w:space="0" w:color="CF7224"/>
              <w:left w:val="single" w:sz="24" w:space="0" w:color="CF7224"/>
            </w:tcBorders>
            <w:shd w:val="clear" w:color="auto" w:fill="auto"/>
          </w:tcPr>
          <w:p w14:paraId="254FD5B8" w14:textId="77777777" w:rsidR="00141755" w:rsidRPr="000A3B15" w:rsidRDefault="00696B8E" w:rsidP="00240780">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Association of Rhodope Municipalities (ARM)</w:t>
            </w:r>
          </w:p>
        </w:tc>
      </w:tr>
      <w:tr w:rsidR="00B437D7" w:rsidRPr="000A3B15" w14:paraId="12BA4ADC"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14:paraId="1A418423" w14:textId="77777777" w:rsidR="00B437D7" w:rsidRPr="000A3B15" w:rsidRDefault="00B437D7" w:rsidP="00463895">
            <w:pPr>
              <w:pStyle w:val="NoSpacing"/>
              <w:rPr>
                <w:rStyle w:val="Emphasis"/>
                <w:lang w:val="en-US"/>
              </w:rPr>
            </w:pPr>
            <w:r w:rsidRPr="000A3B15">
              <w:rPr>
                <w:rStyle w:val="Emphasis"/>
                <w:lang w:val="en-US"/>
              </w:rPr>
              <w:t xml:space="preserve">Program Delivery </w:t>
            </w:r>
            <w:r w:rsidR="00463895" w:rsidRPr="000A3B15">
              <w:rPr>
                <w:rStyle w:val="Emphasis"/>
                <w:lang w:val="en-US"/>
              </w:rPr>
              <w:t>unit</w:t>
            </w:r>
            <w:r w:rsidRPr="000A3B15">
              <w:rPr>
                <w:rStyle w:val="Emphasis"/>
                <w:lang w:val="en-US"/>
              </w:rPr>
              <w:t xml:space="preserve"> </w:t>
            </w:r>
          </w:p>
        </w:tc>
        <w:tc>
          <w:tcPr>
            <w:tcW w:w="6804" w:type="dxa"/>
            <w:tcBorders>
              <w:top w:val="single" w:sz="4" w:space="0" w:color="CF7224"/>
              <w:left w:val="single" w:sz="24" w:space="0" w:color="CF7224"/>
            </w:tcBorders>
            <w:shd w:val="clear" w:color="auto" w:fill="auto"/>
          </w:tcPr>
          <w:p w14:paraId="5E76E84A" w14:textId="77777777" w:rsidR="00B437D7" w:rsidRPr="000A3B15" w:rsidRDefault="00696B8E" w:rsidP="00FF3AA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Rhodoshop</w:t>
            </w:r>
          </w:p>
        </w:tc>
      </w:tr>
      <w:tr w:rsidR="00AD063D" w:rsidRPr="000A3B15" w14:paraId="66DAA407"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14:paraId="0FD68396" w14:textId="77777777" w:rsidR="00AD063D" w:rsidRPr="000A3B15" w:rsidRDefault="00AD063D" w:rsidP="00141755">
            <w:pPr>
              <w:pStyle w:val="NoSpacing"/>
              <w:rPr>
                <w:rStyle w:val="Emphasis"/>
                <w:lang w:val="en-US"/>
              </w:rPr>
            </w:pPr>
            <w:r w:rsidRPr="000A3B15">
              <w:rPr>
                <w:rStyle w:val="Emphasis"/>
                <w:lang w:val="en-US"/>
              </w:rPr>
              <w:t>Implementation Model</w:t>
            </w:r>
          </w:p>
        </w:tc>
        <w:tc>
          <w:tcPr>
            <w:tcW w:w="6804" w:type="dxa"/>
            <w:tcBorders>
              <w:top w:val="single" w:sz="4" w:space="0" w:color="CF7224"/>
              <w:left w:val="single" w:sz="24" w:space="0" w:color="CF7224"/>
            </w:tcBorders>
            <w:shd w:val="clear" w:color="auto" w:fill="auto"/>
          </w:tcPr>
          <w:p w14:paraId="3382C4AB" w14:textId="77777777" w:rsidR="00AD063D" w:rsidRPr="000A3B15" w:rsidRDefault="00AD063D" w:rsidP="00FF3AA7">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Energy Performance Contracting (EPC)</w:t>
            </w:r>
          </w:p>
          <w:p w14:paraId="3ABFB049" w14:textId="77777777" w:rsidR="00CF3E1F" w:rsidRPr="000A3B15" w:rsidRDefault="00CF3E1F" w:rsidP="00FF3AA7">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Separate Based Contracting (SBC)</w:t>
            </w:r>
          </w:p>
        </w:tc>
      </w:tr>
      <w:tr w:rsidR="00141755" w:rsidRPr="000A3B15" w14:paraId="59C8471B"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6CD393A1" w14:textId="77777777" w:rsidR="00141755" w:rsidRPr="000A3B15" w:rsidRDefault="00141755" w:rsidP="00FF3AA7">
            <w:pPr>
              <w:rPr>
                <w:rStyle w:val="Emphasis"/>
                <w:lang w:val="en-US"/>
              </w:rPr>
            </w:pPr>
            <w:r w:rsidRPr="000A3B15">
              <w:rPr>
                <w:rStyle w:val="Emphasis"/>
                <w:lang w:val="en-US"/>
              </w:rPr>
              <w:t>Operating Services</w:t>
            </w:r>
          </w:p>
        </w:tc>
        <w:tc>
          <w:tcPr>
            <w:tcW w:w="6804" w:type="dxa"/>
            <w:tcBorders>
              <w:left w:val="single" w:sz="24" w:space="0" w:color="CF7224"/>
            </w:tcBorders>
            <w:shd w:val="clear" w:color="auto" w:fill="auto"/>
          </w:tcPr>
          <w:p w14:paraId="0BD387B2" w14:textId="77777777" w:rsidR="008B116C" w:rsidRPr="000A3B15" w:rsidRDefault="00FF20FC" w:rsidP="00FF3AA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Market</w:t>
            </w:r>
            <w:r w:rsidR="00B72C01" w:rsidRPr="000A3B15">
              <w:rPr>
                <w:lang w:val="en-US"/>
              </w:rPr>
              <w:t>e</w:t>
            </w:r>
            <w:r w:rsidR="008B116C" w:rsidRPr="000A3B15">
              <w:rPr>
                <w:lang w:val="en-US"/>
              </w:rPr>
              <w:t>r</w:t>
            </w:r>
          </w:p>
          <w:p w14:paraId="4D09630C" w14:textId="77777777" w:rsidR="00B325CB" w:rsidRPr="000A3B15" w:rsidRDefault="00B325CB" w:rsidP="00FF3AA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Aggregator</w:t>
            </w:r>
          </w:p>
          <w:p w14:paraId="7C29A3B7" w14:textId="77777777" w:rsidR="00141755" w:rsidRPr="000A3B15" w:rsidRDefault="00C44B60" w:rsidP="00FF3AA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Facilitator</w:t>
            </w:r>
          </w:p>
          <w:p w14:paraId="647A93F2" w14:textId="77777777" w:rsidR="009627CF" w:rsidRPr="000A3B15" w:rsidRDefault="008B116C" w:rsidP="00FF3AA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Financial advisor</w:t>
            </w:r>
          </w:p>
          <w:p w14:paraId="4D8A9D7B" w14:textId="77777777" w:rsidR="000A0786" w:rsidRPr="000A3B15" w:rsidRDefault="000A0786" w:rsidP="00FF3AA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Assessor</w:t>
            </w:r>
          </w:p>
        </w:tc>
      </w:tr>
      <w:tr w:rsidR="00141755" w:rsidRPr="000A3B15" w14:paraId="13C855D9"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735CC553" w14:textId="77777777" w:rsidR="00141755" w:rsidRPr="000A3B15" w:rsidRDefault="00141755" w:rsidP="00FF3AA7">
            <w:pPr>
              <w:rPr>
                <w:rStyle w:val="Emphasis"/>
                <w:lang w:val="en-US"/>
              </w:rPr>
            </w:pPr>
            <w:r w:rsidRPr="000A3B15">
              <w:rPr>
                <w:rStyle w:val="Emphasis"/>
                <w:lang w:val="en-US"/>
              </w:rPr>
              <w:t>Projects Financed</w:t>
            </w:r>
          </w:p>
        </w:tc>
        <w:tc>
          <w:tcPr>
            <w:tcW w:w="6804" w:type="dxa"/>
            <w:tcBorders>
              <w:left w:val="single" w:sz="24" w:space="0" w:color="CF7224"/>
            </w:tcBorders>
            <w:shd w:val="clear" w:color="auto" w:fill="auto"/>
          </w:tcPr>
          <w:p w14:paraId="490AFE48" w14:textId="77777777" w:rsidR="00141755" w:rsidRPr="000A3B15" w:rsidRDefault="00141755" w:rsidP="00FF3AA7">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Energy Efficiency</w:t>
            </w:r>
            <w:r w:rsidR="00E444CF" w:rsidRPr="000A3B15">
              <w:rPr>
                <w:lang w:val="en-US"/>
              </w:rPr>
              <w:t xml:space="preserve"> (building retrofits)</w:t>
            </w:r>
          </w:p>
          <w:p w14:paraId="45C9F72F" w14:textId="77777777" w:rsidR="00B325CB" w:rsidRPr="000A3B15" w:rsidRDefault="00B325CB" w:rsidP="00FF3AA7">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Renewable energy</w:t>
            </w:r>
          </w:p>
          <w:p w14:paraId="701C968B" w14:textId="77777777" w:rsidR="003A273C" w:rsidRPr="000A3B15" w:rsidRDefault="003A273C" w:rsidP="00FF3AA7">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Street Lighting</w:t>
            </w:r>
          </w:p>
        </w:tc>
      </w:tr>
      <w:tr w:rsidR="00141755" w:rsidRPr="000A3B15" w14:paraId="40074381"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07922959" w14:textId="77777777" w:rsidR="00141755" w:rsidRPr="000A3B15" w:rsidRDefault="00141755" w:rsidP="00FF3AA7">
            <w:pPr>
              <w:rPr>
                <w:rStyle w:val="Emphasis"/>
                <w:lang w:val="en-US"/>
              </w:rPr>
            </w:pPr>
            <w:r w:rsidRPr="000A3B15">
              <w:rPr>
                <w:rStyle w:val="Emphasis"/>
                <w:lang w:val="en-US"/>
              </w:rPr>
              <w:t>Ambition</w:t>
            </w:r>
            <w:r w:rsidR="00901B5B" w:rsidRPr="000A3B15">
              <w:rPr>
                <w:rStyle w:val="Emphasis"/>
                <w:lang w:val="en-US"/>
              </w:rPr>
              <w:t>/targets</w:t>
            </w:r>
          </w:p>
        </w:tc>
        <w:tc>
          <w:tcPr>
            <w:tcW w:w="6804" w:type="dxa"/>
            <w:tcBorders>
              <w:left w:val="single" w:sz="24" w:space="0" w:color="CF7224"/>
            </w:tcBorders>
            <w:shd w:val="clear" w:color="auto" w:fill="auto"/>
          </w:tcPr>
          <w:p w14:paraId="0D48E1B3" w14:textId="77777777" w:rsidR="00F70C75" w:rsidRPr="000A3B15" w:rsidRDefault="003A273C" w:rsidP="00FF3AA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50% energy savings</w:t>
            </w:r>
          </w:p>
        </w:tc>
      </w:tr>
      <w:tr w:rsidR="00141755" w:rsidRPr="000A3B15" w14:paraId="72615531"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71B57D88" w14:textId="77777777" w:rsidR="00141755" w:rsidRPr="000A3B15" w:rsidRDefault="00942290" w:rsidP="00141755">
            <w:pPr>
              <w:rPr>
                <w:rStyle w:val="Emphasis"/>
                <w:lang w:val="en-US"/>
              </w:rPr>
            </w:pPr>
            <w:r w:rsidRPr="000A3B15">
              <w:rPr>
                <w:rStyle w:val="Emphasis"/>
                <w:lang w:val="en-US"/>
              </w:rPr>
              <w:t>Beneficiaries</w:t>
            </w:r>
          </w:p>
        </w:tc>
        <w:tc>
          <w:tcPr>
            <w:tcW w:w="6804" w:type="dxa"/>
            <w:tcBorders>
              <w:left w:val="single" w:sz="24" w:space="0" w:color="CF7224"/>
            </w:tcBorders>
            <w:shd w:val="clear" w:color="auto" w:fill="auto"/>
          </w:tcPr>
          <w:p w14:paraId="5A9DCA28" w14:textId="77777777" w:rsidR="0084777C" w:rsidRPr="000A3B15" w:rsidRDefault="00F70C75" w:rsidP="00B77254">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Public sector (municipalities)</w:t>
            </w:r>
          </w:p>
        </w:tc>
      </w:tr>
      <w:tr w:rsidR="00141755" w:rsidRPr="000A3B15" w14:paraId="32D05376"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1B0E31E3" w14:textId="77777777" w:rsidR="00141755" w:rsidRPr="000A3B15" w:rsidRDefault="0020178F" w:rsidP="00141755">
            <w:pPr>
              <w:rPr>
                <w:rStyle w:val="Emphasis"/>
                <w:lang w:val="en-US"/>
              </w:rPr>
            </w:pPr>
            <w:r w:rsidRPr="000A3B15">
              <w:rPr>
                <w:rStyle w:val="Emphasis"/>
                <w:lang w:val="en-US"/>
              </w:rPr>
              <w:t xml:space="preserve">Funding </w:t>
            </w:r>
            <w:r w:rsidR="00942290" w:rsidRPr="000A3B15">
              <w:rPr>
                <w:rStyle w:val="Emphasis"/>
                <w:lang w:val="en-US"/>
              </w:rPr>
              <w:t>Vehicle</w:t>
            </w:r>
          </w:p>
        </w:tc>
        <w:tc>
          <w:tcPr>
            <w:tcW w:w="6804" w:type="dxa"/>
            <w:tcBorders>
              <w:left w:val="single" w:sz="24" w:space="0" w:color="CF7224"/>
            </w:tcBorders>
            <w:shd w:val="clear" w:color="auto" w:fill="auto"/>
          </w:tcPr>
          <w:p w14:paraId="0A9C9953" w14:textId="77777777" w:rsidR="00141755" w:rsidRPr="000A3B15" w:rsidRDefault="002F4CBA" w:rsidP="008B116C">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Financial institutions</w:t>
            </w:r>
          </w:p>
          <w:p w14:paraId="34B2C00C" w14:textId="77777777" w:rsidR="00F44CAA" w:rsidRPr="000A3B15" w:rsidRDefault="003A273C" w:rsidP="008B116C">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Investment funds</w:t>
            </w:r>
          </w:p>
          <w:p w14:paraId="487E5D5B" w14:textId="77777777" w:rsidR="003A273C" w:rsidRPr="000A3B15" w:rsidRDefault="003A273C" w:rsidP="008B116C">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ESCOs</w:t>
            </w:r>
          </w:p>
        </w:tc>
      </w:tr>
      <w:tr w:rsidR="00141755" w:rsidRPr="000A3B15" w14:paraId="50AFB4C8"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14:paraId="7D1EA2D1" w14:textId="77777777" w:rsidR="00141755" w:rsidRPr="000A3B15" w:rsidRDefault="0084777C" w:rsidP="00141755">
            <w:pPr>
              <w:rPr>
                <w:rStyle w:val="Emphasis"/>
                <w:lang w:val="en-US"/>
              </w:rPr>
            </w:pPr>
            <w:r w:rsidRPr="000A3B15">
              <w:rPr>
                <w:rStyle w:val="Emphasis"/>
                <w:lang w:val="en-US"/>
              </w:rPr>
              <w:t>Financial Instruments</w:t>
            </w:r>
          </w:p>
        </w:tc>
        <w:tc>
          <w:tcPr>
            <w:tcW w:w="6804" w:type="dxa"/>
            <w:tcBorders>
              <w:left w:val="single" w:sz="24" w:space="0" w:color="CF7224"/>
              <w:bottom w:val="single" w:sz="24" w:space="0" w:color="CF7224"/>
            </w:tcBorders>
            <w:shd w:val="clear" w:color="auto" w:fill="auto"/>
          </w:tcPr>
          <w:p w14:paraId="1B591AAC" w14:textId="77777777" w:rsidR="00F70C75" w:rsidRPr="000A3B15" w:rsidRDefault="00F70C75" w:rsidP="00141755">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Equity/Own funds</w:t>
            </w:r>
          </w:p>
          <w:p w14:paraId="4460FDF1" w14:textId="77777777" w:rsidR="0084777C" w:rsidRPr="000A3B15" w:rsidRDefault="00A06C1C" w:rsidP="00141755">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Loans</w:t>
            </w:r>
          </w:p>
          <w:p w14:paraId="57FAEF00" w14:textId="77777777" w:rsidR="00B12088" w:rsidRPr="000A3B15" w:rsidRDefault="00B12088" w:rsidP="00141755">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Grants</w:t>
            </w:r>
          </w:p>
        </w:tc>
      </w:tr>
    </w:tbl>
    <w:p w14:paraId="7FB73811" w14:textId="77777777" w:rsidR="00E215C7" w:rsidRPr="000A3B15" w:rsidRDefault="00E215C7" w:rsidP="00E215C7">
      <w:pPr>
        <w:rPr>
          <w:lang w:val="en-US"/>
        </w:rPr>
      </w:pPr>
    </w:p>
    <w:p w14:paraId="32EED518" w14:textId="77777777" w:rsidR="000C0B42" w:rsidRPr="000A3B15" w:rsidRDefault="000C0B42" w:rsidP="00AD063D">
      <w:pPr>
        <w:pStyle w:val="Heading1"/>
        <w:rPr>
          <w:lang w:val="en-US"/>
        </w:rPr>
      </w:pPr>
      <w:r w:rsidRPr="000A3B15">
        <w:rPr>
          <w:lang w:val="en-US"/>
        </w:rPr>
        <w:t>Summary</w:t>
      </w:r>
    </w:p>
    <w:p w14:paraId="0F71C95F" w14:textId="77777777" w:rsidR="003A273C" w:rsidRPr="000A3B15" w:rsidRDefault="003A273C" w:rsidP="003A273C">
      <w:pPr>
        <w:rPr>
          <w:lang w:val="en-US"/>
        </w:rPr>
      </w:pPr>
    </w:p>
    <w:p w14:paraId="1B46F836" w14:textId="77777777" w:rsidR="003A273C" w:rsidRPr="000A3B15" w:rsidRDefault="004D2ECB" w:rsidP="003A273C">
      <w:pPr>
        <w:rPr>
          <w:lang w:val="en-US"/>
        </w:rPr>
      </w:pPr>
      <w:r w:rsidRPr="000A3B15">
        <w:rPr>
          <w:lang w:val="en-US"/>
        </w:rPr>
        <w:t>The Rhodoshop program aims at assisting Rhodope local authorities to build technical, economic, legal and administrative expertise for a wider implementation of energy efficiency in small sized rural municipalities.</w:t>
      </w:r>
    </w:p>
    <w:p w14:paraId="0CACFA06" w14:textId="77777777" w:rsidR="004D2ECB" w:rsidRPr="000A3B15" w:rsidRDefault="004D2ECB" w:rsidP="003A273C">
      <w:pPr>
        <w:rPr>
          <w:lang w:val="en-US"/>
        </w:rPr>
      </w:pPr>
      <w:r w:rsidRPr="000A3B15">
        <w:rPr>
          <w:lang w:val="en-US"/>
        </w:rPr>
        <w:t>It is based on 6 major objectives:</w:t>
      </w:r>
    </w:p>
    <w:p w14:paraId="630079D1" w14:textId="77777777" w:rsidR="004D2ECB" w:rsidRPr="000A3B15" w:rsidRDefault="004D2ECB" w:rsidP="004D2ECB">
      <w:pPr>
        <w:rPr>
          <w:lang w:val="en-US"/>
        </w:rPr>
      </w:pPr>
      <w:r w:rsidRPr="000A3B15">
        <w:rPr>
          <w:lang w:val="en-US"/>
        </w:rPr>
        <w:t>Objective 1): Increase the capacities, skills and knowledge of Rhodope local authorities by creating of Rhodoshop – a One-Stop-Shop for energy efficiency initiatives in the Region based on the successful experience of the GRE-Liege financial model RENOWATT. Rhodoshop will be a procurement agency, acting on behalf of public authorities that undertakes energy retrofitting works in their own existing buildings and in street lighting.</w:t>
      </w:r>
    </w:p>
    <w:p w14:paraId="244E2543" w14:textId="77777777" w:rsidR="004D2ECB" w:rsidRPr="000A3B15" w:rsidRDefault="004D2ECB" w:rsidP="004D2ECB">
      <w:pPr>
        <w:rPr>
          <w:lang w:val="en-US"/>
        </w:rPr>
      </w:pPr>
      <w:r w:rsidRPr="000A3B15">
        <w:rPr>
          <w:lang w:val="en-US"/>
        </w:rPr>
        <w:t>Objective 2): Develop a pipeline of sustainable energy investment projects allowing for project aggregation and financing solutions minimizing transaction costs;</w:t>
      </w:r>
    </w:p>
    <w:p w14:paraId="64F8491D" w14:textId="77777777" w:rsidR="004D2ECB" w:rsidRPr="000A3B15" w:rsidRDefault="004D2ECB" w:rsidP="004D2ECB">
      <w:pPr>
        <w:rPr>
          <w:lang w:val="en-US"/>
        </w:rPr>
      </w:pPr>
      <w:r w:rsidRPr="000A3B15">
        <w:rPr>
          <w:lang w:val="en-US"/>
        </w:rPr>
        <w:lastRenderedPageBreak/>
        <w:t>Objective 3): Come up with suitable financing solutions for the realization of energy savings in the Rhodope Region (e.g</w:t>
      </w:r>
      <w:r w:rsidR="000A3B15">
        <w:rPr>
          <w:lang w:val="en-US"/>
        </w:rPr>
        <w:t>.</w:t>
      </w:r>
      <w:r w:rsidRPr="000A3B15">
        <w:rPr>
          <w:lang w:val="en-US"/>
        </w:rPr>
        <w:t xml:space="preserve"> EPC, Energy efficiency funds, bank loans, national funding sources, etc.).</w:t>
      </w:r>
    </w:p>
    <w:p w14:paraId="2419CC35" w14:textId="77777777" w:rsidR="004D2ECB" w:rsidRPr="000A3B15" w:rsidRDefault="004D2ECB" w:rsidP="004D2ECB">
      <w:pPr>
        <w:rPr>
          <w:lang w:val="en-US"/>
        </w:rPr>
      </w:pPr>
      <w:r w:rsidRPr="000A3B15">
        <w:rPr>
          <w:lang w:val="en-US"/>
        </w:rPr>
        <w:t>Objective 4): Launch concrete sustainable investment projects in Rhodope municipalities amounting to 13,2 M€ within its 36 month project duration.</w:t>
      </w:r>
    </w:p>
    <w:p w14:paraId="0CBBCB99" w14:textId="77777777" w:rsidR="004D2ECB" w:rsidRPr="000A3B15" w:rsidRDefault="004D2ECB" w:rsidP="004D2ECB">
      <w:pPr>
        <w:rPr>
          <w:lang w:val="en-US"/>
        </w:rPr>
      </w:pPr>
      <w:r w:rsidRPr="000A3B15">
        <w:rPr>
          <w:lang w:val="en-US"/>
        </w:rPr>
        <w:t>Objective 5): Ensure long-term impacts of the Rhodoshop efforts after the life-time of the project by engaging in a dissemination program within Bulgaria and within EU for project results multiplication.</w:t>
      </w:r>
    </w:p>
    <w:p w14:paraId="1B7E64DB" w14:textId="77777777" w:rsidR="004D2ECB" w:rsidRPr="000A3B15" w:rsidRDefault="004D2ECB" w:rsidP="004D2ECB">
      <w:pPr>
        <w:rPr>
          <w:lang w:val="en-US"/>
        </w:rPr>
      </w:pPr>
      <w:r w:rsidRPr="000A3B15">
        <w:rPr>
          <w:lang w:val="en-US"/>
        </w:rPr>
        <w:t>The main sectorial focus of Rhodoshop proposal is</w:t>
      </w:r>
      <w:r w:rsidR="00EE1C36" w:rsidRPr="000A3B15">
        <w:rPr>
          <w:lang w:val="en-US"/>
        </w:rPr>
        <w:t xml:space="preserve"> on</w:t>
      </w:r>
      <w:r w:rsidRPr="000A3B15">
        <w:rPr>
          <w:lang w:val="en-US"/>
        </w:rPr>
        <w:t xml:space="preserve"> existing public buildings and street lighting. At a later stage it will be considered also focusing on private buildings through supporting </w:t>
      </w:r>
      <w:r w:rsidR="00EE1C36" w:rsidRPr="000A3B15">
        <w:rPr>
          <w:lang w:val="en-US"/>
        </w:rPr>
        <w:t xml:space="preserve">the </w:t>
      </w:r>
      <w:r w:rsidRPr="000A3B15">
        <w:rPr>
          <w:lang w:val="en-US"/>
        </w:rPr>
        <w:t xml:space="preserve">implementation of </w:t>
      </w:r>
      <w:r w:rsidR="00EE1C36" w:rsidRPr="000A3B15">
        <w:rPr>
          <w:lang w:val="en-US"/>
        </w:rPr>
        <w:t>a National Program</w:t>
      </w:r>
      <w:r w:rsidRPr="000A3B15">
        <w:rPr>
          <w:lang w:val="en-US"/>
        </w:rPr>
        <w:t xml:space="preserve"> for Energy Efficiency in Bulgarian Homes (Bulgarian governmental initiative providing funding for private househol</w:t>
      </w:r>
      <w:r w:rsidR="00EE1C36" w:rsidRPr="000A3B15">
        <w:rPr>
          <w:lang w:val="en-US"/>
        </w:rPr>
        <w:t>ds). The target of 8,8 GWh/year</w:t>
      </w:r>
      <w:r w:rsidRPr="000A3B15">
        <w:rPr>
          <w:lang w:val="en-US"/>
        </w:rPr>
        <w:t xml:space="preserve"> energy savings by the end of the project will be carefully monitored during its lifetime, together with the investment pipe-lines developed within the project. </w:t>
      </w:r>
    </w:p>
    <w:p w14:paraId="5AEFE8D8" w14:textId="77777777" w:rsidR="00EE1C36" w:rsidRPr="000A3B15" w:rsidRDefault="00EE1C36" w:rsidP="004D2ECB">
      <w:pPr>
        <w:rPr>
          <w:lang w:val="en-US"/>
        </w:rPr>
      </w:pPr>
      <w:r w:rsidRPr="000A3B15">
        <w:rPr>
          <w:lang w:val="en-US"/>
        </w:rPr>
        <w:t>The program initially involves 6 municipalities, all member</w:t>
      </w:r>
      <w:r w:rsidR="006E3C40">
        <w:rPr>
          <w:lang w:val="en-US"/>
        </w:rPr>
        <w:t>s</w:t>
      </w:r>
      <w:r w:rsidRPr="000A3B15">
        <w:rPr>
          <w:lang w:val="en-US"/>
        </w:rPr>
        <w:t xml:space="preserve"> of the Association of Rhodope Municipalities (ARM), which has 16 members in total. The 6 pioneering members are Banite, Chepelare, Devin, Nedelino, Smolyan and Zlatograd, of which 5 are engaged within the Covenant of </w:t>
      </w:r>
      <w:r w:rsidRPr="006E3C40">
        <w:rPr>
          <w:szCs w:val="20"/>
          <w:lang w:val="en-US"/>
        </w:rPr>
        <w:t>Mayors.</w:t>
      </w:r>
      <w:r w:rsidR="001D3ED7" w:rsidRPr="006E3C40">
        <w:rPr>
          <w:szCs w:val="20"/>
          <w:lang w:val="en-US"/>
        </w:rPr>
        <w:t xml:space="preserve"> </w:t>
      </w:r>
      <w:r w:rsidR="002171DD" w:rsidRPr="00340EAB">
        <w:rPr>
          <w:szCs w:val="20"/>
          <w:lang w:val="en-US"/>
        </w:rPr>
        <w:t>This joint</w:t>
      </w:r>
      <w:r w:rsidR="001D3ED7" w:rsidRPr="000A3B15">
        <w:rPr>
          <w:sz w:val="23"/>
          <w:szCs w:val="23"/>
          <w:lang w:val="en-US"/>
        </w:rPr>
        <w:t xml:space="preserve"> </w:t>
      </w:r>
      <w:r w:rsidR="001D3ED7" w:rsidRPr="000A3B15">
        <w:rPr>
          <w:lang w:val="en-US"/>
        </w:rPr>
        <w:t xml:space="preserve">undertaking is substantiated by the fact that these municipalities are </w:t>
      </w:r>
      <w:r w:rsidR="000A3B15" w:rsidRPr="000A3B15">
        <w:rPr>
          <w:lang w:val="en-US"/>
        </w:rPr>
        <w:t>neighboring</w:t>
      </w:r>
      <w:r w:rsidR="001D3ED7" w:rsidRPr="000A3B15">
        <w:rPr>
          <w:lang w:val="en-US"/>
        </w:rPr>
        <w:t xml:space="preserve"> each other and have had previous collaboration.</w:t>
      </w:r>
    </w:p>
    <w:p w14:paraId="40C484A7" w14:textId="77777777" w:rsidR="00F33D36" w:rsidRPr="000A3B15" w:rsidRDefault="00F33D36" w:rsidP="004D2ECB">
      <w:pPr>
        <w:rPr>
          <w:lang w:val="en-US"/>
        </w:rPr>
      </w:pPr>
      <w:r w:rsidRPr="000A3B15">
        <w:rPr>
          <w:lang w:val="en-US"/>
        </w:rPr>
        <w:t xml:space="preserve">The program is co-managed by the </w:t>
      </w:r>
      <w:r w:rsidR="006E3C40" w:rsidRPr="000A3B15">
        <w:rPr>
          <w:lang w:val="en-US"/>
        </w:rPr>
        <w:t>So</w:t>
      </w:r>
      <w:r w:rsidR="006E3C40">
        <w:rPr>
          <w:lang w:val="en-US"/>
        </w:rPr>
        <w:t>f</w:t>
      </w:r>
      <w:r w:rsidR="006E3C40" w:rsidRPr="000A3B15">
        <w:rPr>
          <w:lang w:val="en-US"/>
        </w:rPr>
        <w:t xml:space="preserve">ia </w:t>
      </w:r>
      <w:r w:rsidRPr="000A3B15">
        <w:rPr>
          <w:lang w:val="en-US"/>
        </w:rPr>
        <w:t>Energy Centre (SEC).</w:t>
      </w:r>
    </w:p>
    <w:p w14:paraId="4E21E0DF" w14:textId="77777777" w:rsidR="0086695D" w:rsidRPr="000A3B15" w:rsidRDefault="00F33D36" w:rsidP="004D2ECB">
      <w:pPr>
        <w:rPr>
          <w:lang w:val="en-US"/>
        </w:rPr>
      </w:pPr>
      <w:r w:rsidRPr="000A3B15">
        <w:rPr>
          <w:lang w:val="en-US"/>
        </w:rPr>
        <w:t>The program is funded under the Horizon2020 PDA initiative. Training on the set-up and management of a One-stop-shop Program Delivery Unit (PDU) is provided by GRE Liège.</w:t>
      </w:r>
    </w:p>
    <w:p w14:paraId="04BC9B90" w14:textId="77777777" w:rsidR="0086695D" w:rsidRPr="000A3B15" w:rsidRDefault="0086695D" w:rsidP="0086695D">
      <w:pPr>
        <w:rPr>
          <w:lang w:val="en-US"/>
        </w:rPr>
      </w:pPr>
      <w:r w:rsidRPr="000A3B15">
        <w:rPr>
          <w:lang w:val="en-US"/>
        </w:rPr>
        <w:t>The proposed initiative builds upon the outputs of H2020 CITYnvest project (</w:t>
      </w:r>
      <w:hyperlink r:id="rId8" w:history="1">
        <w:r w:rsidRPr="000A3B15">
          <w:rPr>
            <w:rStyle w:val="Hyperlink"/>
            <w:lang w:val="en-US"/>
          </w:rPr>
          <w:t>www.citynvest.eu</w:t>
        </w:r>
      </w:hyperlink>
      <w:r w:rsidRPr="000A3B15">
        <w:rPr>
          <w:lang w:val="en-US"/>
        </w:rPr>
        <w:t xml:space="preserve">) following the prepared Action Plan for the Rhodope Region which foresees the creation of the suitable infrastructure that will help Rhodope municipalities in securing funding, while taking into account organizational, administrative, legal and financial aspects. Rhodoshop proposal coordinating organization SEC is a partner in CITYnvest Project while ARM is a supporting organization in CITYnvest activities in Rhodope Region. GRE-Liege, the partner providing its innovative financial experience as part of CITYnvest, is collaborating with SEC and ARM for Rhodoshop establishment and making it operational, and will provide on-going consultations on practical issues during Rhodoshop implementation phase (via </w:t>
      </w:r>
      <w:r w:rsidR="000A3B15" w:rsidRPr="000A3B15">
        <w:rPr>
          <w:lang w:val="en-US"/>
        </w:rPr>
        <w:t>Skype</w:t>
      </w:r>
      <w:r w:rsidRPr="000A3B15">
        <w:rPr>
          <w:lang w:val="en-US"/>
        </w:rPr>
        <w:t xml:space="preserve"> and e-mail). </w:t>
      </w:r>
    </w:p>
    <w:p w14:paraId="52A8A0E7" w14:textId="77777777" w:rsidR="000C0B42" w:rsidRPr="000A3B15" w:rsidRDefault="000C0B42" w:rsidP="00AD063D">
      <w:pPr>
        <w:pStyle w:val="Heading1"/>
        <w:rPr>
          <w:lang w:val="en-US"/>
        </w:rPr>
      </w:pPr>
      <w:r w:rsidRPr="000A3B15">
        <w:rPr>
          <w:lang w:val="en-US"/>
        </w:rPr>
        <w:t>How does it work?</w:t>
      </w:r>
    </w:p>
    <w:p w14:paraId="2A31A399" w14:textId="77777777" w:rsidR="009F1D9E" w:rsidRPr="000A3B15" w:rsidRDefault="009F1D9E" w:rsidP="009F1D9E">
      <w:pPr>
        <w:rPr>
          <w:lang w:val="en-US"/>
        </w:rPr>
      </w:pPr>
      <w:r w:rsidRPr="000A3B15">
        <w:rPr>
          <w:lang w:val="en-US"/>
        </w:rPr>
        <w:t>The Rhodoshop project aims at the implementation of an innovative financial model through the creation of a One-Stop-Shop to serve as central procurement agency thus enabling:</w:t>
      </w:r>
    </w:p>
    <w:p w14:paraId="4D5DEAB7" w14:textId="77777777" w:rsidR="009F1D9E" w:rsidRPr="000A3B15" w:rsidRDefault="001D3ED7" w:rsidP="001D3ED7">
      <w:pPr>
        <w:pStyle w:val="ListParagraph"/>
        <w:numPr>
          <w:ilvl w:val="0"/>
          <w:numId w:val="28"/>
        </w:numPr>
        <w:rPr>
          <w:lang w:val="en-US"/>
        </w:rPr>
      </w:pPr>
      <w:r w:rsidRPr="000A3B15">
        <w:rPr>
          <w:lang w:val="en-US"/>
        </w:rPr>
        <w:t xml:space="preserve">to </w:t>
      </w:r>
      <w:r w:rsidR="009F1D9E" w:rsidRPr="000A3B15">
        <w:rPr>
          <w:lang w:val="en-US"/>
        </w:rPr>
        <w:t>bundle projects from several small municipalities to gain critical mass;</w:t>
      </w:r>
    </w:p>
    <w:p w14:paraId="270248EC" w14:textId="77777777" w:rsidR="009F1D9E" w:rsidRPr="000A3B15" w:rsidRDefault="001D3ED7" w:rsidP="001D3ED7">
      <w:pPr>
        <w:pStyle w:val="ListParagraph"/>
        <w:numPr>
          <w:ilvl w:val="0"/>
          <w:numId w:val="28"/>
        </w:numPr>
        <w:rPr>
          <w:lang w:val="en-US"/>
        </w:rPr>
      </w:pPr>
      <w:r w:rsidRPr="000A3B15">
        <w:rPr>
          <w:lang w:val="en-US"/>
        </w:rPr>
        <w:t>to f</w:t>
      </w:r>
      <w:r w:rsidR="009F1D9E" w:rsidRPr="000A3B15">
        <w:rPr>
          <w:lang w:val="en-US"/>
        </w:rPr>
        <w:t xml:space="preserve">ocus on the public procurement of energy efficiency measures on the principles of Green Public Procurement in order to make the best choice of environmentally friendly, energy efficient and cost effective products and services. The idea of “Green Procurement” is to compare the qualities and performances of different solutions during their whole life-cycle, and to give preference to the solution that shows the best ratio cost/performance. Green procurement is also a tool for wider market penetration of innovative solutions for </w:t>
      </w:r>
      <w:r w:rsidR="009F1D9E" w:rsidRPr="000A3B15">
        <w:rPr>
          <w:lang w:val="en-US"/>
        </w:rPr>
        <w:lastRenderedPageBreak/>
        <w:t>improvement of the energy characteristics of products and services, for the use of recycled materials and decrease of CO2 emissions.</w:t>
      </w:r>
    </w:p>
    <w:p w14:paraId="1DB4426E" w14:textId="77777777" w:rsidR="00D14082" w:rsidRPr="000A3B15" w:rsidRDefault="001D3ED7" w:rsidP="009F1D9E">
      <w:pPr>
        <w:rPr>
          <w:lang w:val="en-US"/>
        </w:rPr>
      </w:pPr>
      <w:r w:rsidRPr="000A3B15">
        <w:rPr>
          <w:lang w:val="en-US"/>
        </w:rPr>
        <w:t xml:space="preserve">The </w:t>
      </w:r>
      <w:r w:rsidR="009F1D9E" w:rsidRPr="000A3B15">
        <w:rPr>
          <w:lang w:val="en-US"/>
        </w:rPr>
        <w:t>Rhodoshop project will ensure EU added value by replicating the innovative experiences of GRE-Liege for project aggregation and project bundling</w:t>
      </w:r>
      <w:r w:rsidRPr="000A3B15">
        <w:rPr>
          <w:lang w:val="en-US"/>
        </w:rPr>
        <w:t xml:space="preserve"> and financing solutions minimiz</w:t>
      </w:r>
      <w:r w:rsidR="009F1D9E" w:rsidRPr="000A3B15">
        <w:rPr>
          <w:lang w:val="en-US"/>
        </w:rPr>
        <w:t>ing transaction costs on the Bulgarian market, and further disseminating this approach within Bulgarian local communities and at EU level.</w:t>
      </w:r>
    </w:p>
    <w:p w14:paraId="27652E62" w14:textId="77777777" w:rsidR="001D3ED7" w:rsidRPr="000A3B15" w:rsidRDefault="001D3ED7" w:rsidP="001D3ED7">
      <w:pPr>
        <w:rPr>
          <w:lang w:val="en-US"/>
        </w:rPr>
      </w:pPr>
      <w:r w:rsidRPr="000A3B15">
        <w:rPr>
          <w:lang w:val="en-US"/>
        </w:rPr>
        <w:t xml:space="preserve">In order to maximize the impact of the initiative on boosting sustainable energy investments in the region it is envisaged to involve the following main target groups: </w:t>
      </w:r>
    </w:p>
    <w:p w14:paraId="6FB136D2" w14:textId="77777777" w:rsidR="001D3ED7" w:rsidRPr="000A3B15" w:rsidRDefault="001D3ED7" w:rsidP="001D3ED7">
      <w:pPr>
        <w:pStyle w:val="ListParagraph"/>
        <w:numPr>
          <w:ilvl w:val="0"/>
          <w:numId w:val="31"/>
        </w:numPr>
        <w:rPr>
          <w:lang w:val="en-US"/>
        </w:rPr>
      </w:pPr>
      <w:r w:rsidRPr="000A3B15">
        <w:rPr>
          <w:lang w:val="en-US"/>
        </w:rPr>
        <w:t xml:space="preserve">Municipalities from Rhodope Region. They will be involved through their membership to ARM which is a partner in Rhodoshop project that will accommodate the One-Stop-Shop structure and is therefore in a position to spread all available not confidential information to its remaining members; </w:t>
      </w:r>
    </w:p>
    <w:p w14:paraId="7C911297" w14:textId="77777777" w:rsidR="001D3ED7" w:rsidRPr="000A3B15" w:rsidRDefault="001D3ED7" w:rsidP="001D3ED7">
      <w:pPr>
        <w:pStyle w:val="ListParagraph"/>
        <w:numPr>
          <w:ilvl w:val="0"/>
          <w:numId w:val="31"/>
        </w:numPr>
        <w:rPr>
          <w:lang w:val="en-US"/>
        </w:rPr>
      </w:pPr>
      <w:r w:rsidRPr="000A3B15">
        <w:rPr>
          <w:lang w:val="en-US"/>
        </w:rPr>
        <w:t xml:space="preserve">The rest of municipalities of Bulgaria – they will be targeted for project results multiplication efforts through the support of the National Association of Municipalities in the Republic of Bulgaria (NAMRB) which comprises of all 265 existing municipalities in the country and whose involvement is ensured by a Letter of Support; </w:t>
      </w:r>
    </w:p>
    <w:p w14:paraId="6483383E" w14:textId="77777777" w:rsidR="001D3ED7" w:rsidRPr="000A3B15" w:rsidRDefault="001D3ED7" w:rsidP="001D3ED7">
      <w:pPr>
        <w:pStyle w:val="ListParagraph"/>
        <w:numPr>
          <w:ilvl w:val="0"/>
          <w:numId w:val="31"/>
        </w:numPr>
        <w:rPr>
          <w:lang w:val="en-US"/>
        </w:rPr>
      </w:pPr>
      <w:r w:rsidRPr="000A3B15">
        <w:rPr>
          <w:lang w:val="en-US"/>
        </w:rPr>
        <w:t xml:space="preserve">Europe-wide local authorities and other local actors – through the support of Climate Alliance, a European Network of 1713 municipalities from 26 European countries. </w:t>
      </w:r>
    </w:p>
    <w:p w14:paraId="19119970" w14:textId="77777777" w:rsidR="001D3ED7" w:rsidRPr="000A3B15" w:rsidRDefault="001D3ED7" w:rsidP="001D3ED7">
      <w:pPr>
        <w:rPr>
          <w:lang w:val="en-US"/>
        </w:rPr>
      </w:pPr>
      <w:r w:rsidRPr="000A3B15">
        <w:rPr>
          <w:lang w:val="en-US"/>
        </w:rPr>
        <w:t xml:space="preserve">Other key project actors include: </w:t>
      </w:r>
    </w:p>
    <w:p w14:paraId="53381B47" w14:textId="77777777" w:rsidR="001D3ED7" w:rsidRPr="000A3B15" w:rsidRDefault="001D3ED7" w:rsidP="001D3ED7">
      <w:pPr>
        <w:pStyle w:val="ListParagraph"/>
        <w:numPr>
          <w:ilvl w:val="0"/>
          <w:numId w:val="32"/>
        </w:numPr>
        <w:rPr>
          <w:lang w:val="en-US"/>
        </w:rPr>
      </w:pPr>
      <w:r w:rsidRPr="000A3B15">
        <w:rPr>
          <w:lang w:val="en-US"/>
        </w:rPr>
        <w:t xml:space="preserve">Association of Rhodope Municipalities (ARM) representing the 16 municipalities from Rhodope Region (including the six Rhodoshop pioneers) – project partner as Rhodoshop host organization; </w:t>
      </w:r>
    </w:p>
    <w:p w14:paraId="2A7B5879" w14:textId="77777777" w:rsidR="001D3ED7" w:rsidRPr="000A3B15" w:rsidRDefault="001D3ED7" w:rsidP="001D3ED7">
      <w:pPr>
        <w:pStyle w:val="ListParagraph"/>
        <w:numPr>
          <w:ilvl w:val="0"/>
          <w:numId w:val="32"/>
        </w:numPr>
        <w:rPr>
          <w:lang w:val="en-US"/>
        </w:rPr>
      </w:pPr>
      <w:r w:rsidRPr="000A3B15">
        <w:rPr>
          <w:lang w:val="en-US"/>
        </w:rPr>
        <w:t xml:space="preserve">Sofia Energy Centre (SEC) – project partner providing management and coordination support to Rhodoshop structure through its vast experience in sustainable energy project execution at EU and national level, gained during its 22-year activity as a consultancy organisation; </w:t>
      </w:r>
    </w:p>
    <w:p w14:paraId="58FDE017" w14:textId="77777777" w:rsidR="001D3ED7" w:rsidRPr="000A3B15" w:rsidRDefault="001D3ED7" w:rsidP="001D3ED7">
      <w:pPr>
        <w:pStyle w:val="ListParagraph"/>
        <w:numPr>
          <w:ilvl w:val="0"/>
          <w:numId w:val="32"/>
        </w:numPr>
        <w:rPr>
          <w:lang w:val="en-US"/>
        </w:rPr>
      </w:pPr>
      <w:r w:rsidRPr="000A3B15">
        <w:rPr>
          <w:lang w:val="en-US"/>
        </w:rPr>
        <w:t xml:space="preserve">GRE-Liege – subcontractor with unique expertise in One-Stop-Shop creation providing training on the site through its involvement in </w:t>
      </w:r>
      <w:r w:rsidR="00CF2ACF" w:rsidRPr="000A3B15">
        <w:rPr>
          <w:lang w:val="en-US"/>
        </w:rPr>
        <w:t xml:space="preserve">the </w:t>
      </w:r>
      <w:r w:rsidRPr="000A3B15">
        <w:rPr>
          <w:lang w:val="en-US"/>
        </w:rPr>
        <w:t xml:space="preserve">study tour of Rhodoshop staff to exchange practical experience on One-Stop-Shop function and on-going support during </w:t>
      </w:r>
      <w:r w:rsidR="00CF2ACF" w:rsidRPr="000A3B15">
        <w:rPr>
          <w:lang w:val="en-US"/>
        </w:rPr>
        <w:t xml:space="preserve">the </w:t>
      </w:r>
      <w:r w:rsidRPr="000A3B15">
        <w:rPr>
          <w:lang w:val="en-US"/>
        </w:rPr>
        <w:t>Rhodoshop operation</w:t>
      </w:r>
      <w:r w:rsidR="00CF2ACF" w:rsidRPr="000A3B15">
        <w:rPr>
          <w:lang w:val="en-US"/>
        </w:rPr>
        <w:t>al</w:t>
      </w:r>
      <w:r w:rsidRPr="000A3B15">
        <w:rPr>
          <w:lang w:val="en-US"/>
        </w:rPr>
        <w:t xml:space="preserve"> phase</w:t>
      </w:r>
      <w:r w:rsidR="00CF2ACF" w:rsidRPr="000A3B15">
        <w:rPr>
          <w:lang w:val="en-US"/>
        </w:rPr>
        <w:t>.</w:t>
      </w:r>
    </w:p>
    <w:p w14:paraId="1E8AACCC" w14:textId="77777777" w:rsidR="001D3ED7" w:rsidRPr="000A3B15" w:rsidRDefault="00BD62A2" w:rsidP="009F1D9E">
      <w:pPr>
        <w:rPr>
          <w:lang w:val="en-US"/>
        </w:rPr>
      </w:pPr>
      <w:r w:rsidRPr="000A3B15">
        <w:rPr>
          <w:lang w:val="en-US"/>
        </w:rPr>
        <w:t>The overall approach is to set-up a dedicated Program Delivery Unit (PDU) that will undertake all functions of participating municipalities related to the whole development and implementation cycle of sustainable energy investments at the same time providing the opportunity to bundle and package smaller projects together in order to increase projects financial viability and get better terms from project financiers. The unit will be staffed with a dedicated team with respective competences and additional training will be provided on specific topics relevant to the program sectors and themes.</w:t>
      </w:r>
    </w:p>
    <w:p w14:paraId="4913CACD" w14:textId="77777777" w:rsidR="00535BDC" w:rsidRPr="000A3B15" w:rsidRDefault="00535BDC" w:rsidP="00AE1A10">
      <w:pPr>
        <w:rPr>
          <w:lang w:val="en-US"/>
        </w:rPr>
      </w:pPr>
    </w:p>
    <w:p w14:paraId="1757F942" w14:textId="77777777" w:rsidR="00AD063D" w:rsidRPr="000A3B15" w:rsidRDefault="00AD063D" w:rsidP="00AD063D">
      <w:pPr>
        <w:pStyle w:val="NoSpacing"/>
        <w:rPr>
          <w:lang w:val="en-US"/>
        </w:rPr>
      </w:pPr>
      <w:r w:rsidRPr="000A3B15">
        <w:rPr>
          <w:lang w:val="en-US"/>
        </w:rPr>
        <w:t>Fig 1. Operational and financial model</w:t>
      </w:r>
    </w:p>
    <w:p w14:paraId="25022A33" w14:textId="77777777" w:rsidR="00626631" w:rsidRPr="000A3B15" w:rsidRDefault="00626631" w:rsidP="00B12088">
      <w:pPr>
        <w:rPr>
          <w:noProof/>
          <w:lang w:val="en-US" w:eastAsia="en-GB"/>
        </w:rPr>
      </w:pPr>
    </w:p>
    <w:p w14:paraId="5F19BC78" w14:textId="77777777" w:rsidR="0026172F" w:rsidRPr="000A3B15" w:rsidRDefault="000A3B15" w:rsidP="00B12088">
      <w:pPr>
        <w:rPr>
          <w:noProof/>
          <w:lang w:val="en-US" w:eastAsia="en-GB"/>
        </w:rPr>
      </w:pPr>
      <w:r w:rsidRPr="000A3B15">
        <w:rPr>
          <w:noProof/>
          <w:lang w:val="nl-BE" w:eastAsia="nl-BE"/>
        </w:rPr>
        <w:lastRenderedPageBreak/>
        <w:drawing>
          <wp:inline distT="0" distB="0" distL="0" distR="0" wp14:anchorId="763DAF65" wp14:editId="377EBC6A">
            <wp:extent cx="5972810" cy="30251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doshop fig 1.jpg"/>
                    <pic:cNvPicPr/>
                  </pic:nvPicPr>
                  <pic:blipFill>
                    <a:blip r:embed="rId9">
                      <a:extLst>
                        <a:ext uri="{28A0092B-C50C-407E-A947-70E740481C1C}">
                          <a14:useLocalDpi xmlns:a14="http://schemas.microsoft.com/office/drawing/2010/main" val="0"/>
                        </a:ext>
                      </a:extLst>
                    </a:blip>
                    <a:stretch>
                      <a:fillRect/>
                    </a:stretch>
                  </pic:blipFill>
                  <pic:spPr>
                    <a:xfrm>
                      <a:off x="0" y="0"/>
                      <a:ext cx="5972810" cy="3025140"/>
                    </a:xfrm>
                    <a:prstGeom prst="rect">
                      <a:avLst/>
                    </a:prstGeom>
                  </pic:spPr>
                </pic:pic>
              </a:graphicData>
            </a:graphic>
          </wp:inline>
        </w:drawing>
      </w:r>
    </w:p>
    <w:p w14:paraId="79602E8B" w14:textId="77777777" w:rsidR="004C7F84" w:rsidRPr="000A3B15" w:rsidRDefault="004C7F84" w:rsidP="004C7F84">
      <w:pPr>
        <w:rPr>
          <w:highlight w:val="yellow"/>
          <w:lang w:val="en-US"/>
        </w:rPr>
      </w:pPr>
    </w:p>
    <w:p w14:paraId="79E67A5C" w14:textId="77777777" w:rsidR="00AD063D" w:rsidRPr="000A3B15" w:rsidRDefault="00406ECE" w:rsidP="00996C6C">
      <w:pPr>
        <w:pStyle w:val="Heading1"/>
        <w:rPr>
          <w:lang w:val="en-US"/>
        </w:rPr>
      </w:pPr>
      <w:r w:rsidRPr="000A3B15">
        <w:rPr>
          <w:lang w:val="en-US"/>
        </w:rPr>
        <w:t xml:space="preserve">The program delivery </w:t>
      </w:r>
      <w:r w:rsidR="005A7F43" w:rsidRPr="000A3B15">
        <w:rPr>
          <w:lang w:val="en-US"/>
        </w:rPr>
        <w:t>unit</w:t>
      </w:r>
    </w:p>
    <w:p w14:paraId="19F122F8" w14:textId="77777777" w:rsidR="0035132A" w:rsidRPr="000A3B15" w:rsidRDefault="0035132A" w:rsidP="00AD063D">
      <w:pPr>
        <w:rPr>
          <w:lang w:val="en-US"/>
        </w:rPr>
      </w:pPr>
    </w:p>
    <w:p w14:paraId="52D74E32" w14:textId="77777777" w:rsidR="00BD62A2" w:rsidRPr="000A3B15" w:rsidRDefault="00BD62A2" w:rsidP="00BD62A2">
      <w:pPr>
        <w:rPr>
          <w:lang w:val="en-US"/>
        </w:rPr>
      </w:pPr>
      <w:r w:rsidRPr="000A3B15">
        <w:rPr>
          <w:lang w:val="en-US"/>
        </w:rPr>
        <w:t>Rhodoshop will legally be part of ARM, with clearly defined objectives and principles of function stated in its Founding Act and with a dedicated team of five persons working full time on the Rhodoshop pilot program. The main provisions of the Rhodoshop Founding Act will cover neutrality of the structure which is important for local authorities and other stakeholders, its non-for-profit status being legally accommodated within ARM, its intermediary role as a facilitator and a procurement agency for subscribed municipalities. It sets the main rules of functioning and defines several aspects of the collaboration between the beneficiaries contracting authorities and the central procurement agency, as follows:</w:t>
      </w:r>
    </w:p>
    <w:p w14:paraId="28DFC6A8" w14:textId="77777777" w:rsidR="00BD62A2" w:rsidRPr="000A3B15" w:rsidRDefault="00BD62A2" w:rsidP="00BD62A2">
      <w:pPr>
        <w:pStyle w:val="ListParagraph"/>
        <w:numPr>
          <w:ilvl w:val="0"/>
          <w:numId w:val="33"/>
        </w:numPr>
        <w:rPr>
          <w:lang w:val="en-US"/>
        </w:rPr>
      </w:pPr>
      <w:r w:rsidRPr="000A3B15">
        <w:rPr>
          <w:lang w:val="en-US"/>
        </w:rPr>
        <w:t>The object and the role of the central procurement agency;</w:t>
      </w:r>
    </w:p>
    <w:p w14:paraId="2BD4E37D" w14:textId="77777777" w:rsidR="00BD62A2" w:rsidRPr="000A3B15" w:rsidRDefault="00BD62A2" w:rsidP="00BD62A2">
      <w:pPr>
        <w:pStyle w:val="ListParagraph"/>
        <w:numPr>
          <w:ilvl w:val="0"/>
          <w:numId w:val="33"/>
        </w:numPr>
        <w:rPr>
          <w:lang w:val="en-US"/>
        </w:rPr>
      </w:pPr>
      <w:r w:rsidRPr="000A3B15">
        <w:rPr>
          <w:lang w:val="en-US"/>
        </w:rPr>
        <w:t>The memberships conditions to the central procurement agency;</w:t>
      </w:r>
    </w:p>
    <w:p w14:paraId="2127FEB0" w14:textId="77777777" w:rsidR="00BD62A2" w:rsidRPr="000A3B15" w:rsidRDefault="00BD62A2" w:rsidP="00BD62A2">
      <w:pPr>
        <w:pStyle w:val="ListParagraph"/>
        <w:numPr>
          <w:ilvl w:val="0"/>
          <w:numId w:val="33"/>
        </w:numPr>
        <w:rPr>
          <w:lang w:val="en-US"/>
        </w:rPr>
      </w:pPr>
      <w:r w:rsidRPr="000A3B15">
        <w:rPr>
          <w:lang w:val="en-US"/>
        </w:rPr>
        <w:t>The beneficiaries contracting authorities’ commitments towards the central procurement agency;</w:t>
      </w:r>
    </w:p>
    <w:p w14:paraId="16627C55" w14:textId="77777777" w:rsidR="00BD62A2" w:rsidRPr="000A3B15" w:rsidRDefault="00BD62A2" w:rsidP="00BD62A2">
      <w:pPr>
        <w:pStyle w:val="ListParagraph"/>
        <w:numPr>
          <w:ilvl w:val="0"/>
          <w:numId w:val="33"/>
        </w:numPr>
        <w:rPr>
          <w:lang w:val="en-US"/>
        </w:rPr>
      </w:pPr>
      <w:r w:rsidRPr="000A3B15">
        <w:rPr>
          <w:lang w:val="en-US"/>
        </w:rPr>
        <w:t>The beneficiaries contracting authorities’ commitments in an EPC;</w:t>
      </w:r>
    </w:p>
    <w:p w14:paraId="5B488CEA" w14:textId="77777777" w:rsidR="00BD62A2" w:rsidRPr="000A3B15" w:rsidRDefault="00BD62A2" w:rsidP="00BD62A2">
      <w:pPr>
        <w:pStyle w:val="ListParagraph"/>
        <w:numPr>
          <w:ilvl w:val="0"/>
          <w:numId w:val="33"/>
        </w:numPr>
        <w:rPr>
          <w:lang w:val="en-US"/>
        </w:rPr>
      </w:pPr>
      <w:r w:rsidRPr="000A3B15">
        <w:rPr>
          <w:lang w:val="en-US"/>
        </w:rPr>
        <w:t>Responsibilities of the central procurement agency;</w:t>
      </w:r>
    </w:p>
    <w:p w14:paraId="0952C427" w14:textId="77777777" w:rsidR="00BD62A2" w:rsidRPr="000A3B15" w:rsidRDefault="00BD62A2" w:rsidP="00BD62A2">
      <w:pPr>
        <w:pStyle w:val="ListParagraph"/>
        <w:numPr>
          <w:ilvl w:val="0"/>
          <w:numId w:val="33"/>
        </w:numPr>
        <w:rPr>
          <w:lang w:val="en-US"/>
        </w:rPr>
      </w:pPr>
      <w:r w:rsidRPr="000A3B15">
        <w:rPr>
          <w:lang w:val="en-US"/>
        </w:rPr>
        <w:t>Distribution of roles regarding the contract notice;</w:t>
      </w:r>
    </w:p>
    <w:p w14:paraId="473BC929" w14:textId="77777777" w:rsidR="00C15EF9" w:rsidRPr="000A3B15" w:rsidRDefault="00BD62A2" w:rsidP="00BD62A2">
      <w:pPr>
        <w:pStyle w:val="ListParagraph"/>
        <w:numPr>
          <w:ilvl w:val="0"/>
          <w:numId w:val="33"/>
        </w:numPr>
        <w:rPr>
          <w:lang w:val="en-US"/>
        </w:rPr>
      </w:pPr>
      <w:r w:rsidRPr="000A3B15">
        <w:rPr>
          <w:lang w:val="en-US"/>
        </w:rPr>
        <w:t>Distribution of roles regarding the execution of the contract;</w:t>
      </w:r>
    </w:p>
    <w:p w14:paraId="5BA0FE30" w14:textId="77777777" w:rsidR="00AB638D" w:rsidRPr="000A3B15" w:rsidRDefault="00AB638D" w:rsidP="00AB638D">
      <w:pPr>
        <w:rPr>
          <w:lang w:val="en-US"/>
        </w:rPr>
      </w:pPr>
      <w:r w:rsidRPr="000A3B15">
        <w:rPr>
          <w:lang w:val="en-US"/>
        </w:rPr>
        <w:t>The main roles and responsibilities of Rhodoshop as a procurement agency will be as follows</w:t>
      </w:r>
      <w:r w:rsidR="00091901" w:rsidRPr="000A3B15">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92"/>
      </w:tblGrid>
      <w:tr w:rsidR="00BD62A2" w:rsidRPr="000A3B15" w14:paraId="5B21FF44" w14:textId="77777777" w:rsidTr="00091901">
        <w:trPr>
          <w:trHeight w:val="111"/>
        </w:trPr>
        <w:tc>
          <w:tcPr>
            <w:tcW w:w="2660" w:type="dxa"/>
          </w:tcPr>
          <w:p w14:paraId="4A445E8A" w14:textId="77777777" w:rsidR="00BD62A2" w:rsidRPr="000A3B15" w:rsidRDefault="00BD62A2" w:rsidP="00091901">
            <w:pPr>
              <w:rPr>
                <w:b/>
                <w:lang w:val="en-US"/>
              </w:rPr>
            </w:pPr>
            <w:r w:rsidRPr="000A3B15">
              <w:rPr>
                <w:b/>
                <w:lang w:val="en-US"/>
              </w:rPr>
              <w:t xml:space="preserve">Role </w:t>
            </w:r>
          </w:p>
        </w:tc>
        <w:tc>
          <w:tcPr>
            <w:tcW w:w="6592" w:type="dxa"/>
          </w:tcPr>
          <w:p w14:paraId="3BEBAB93" w14:textId="77777777" w:rsidR="00BD62A2" w:rsidRPr="000A3B15" w:rsidRDefault="00BD62A2" w:rsidP="00091901">
            <w:pPr>
              <w:rPr>
                <w:b/>
                <w:lang w:val="en-US"/>
              </w:rPr>
            </w:pPr>
            <w:r w:rsidRPr="000A3B15">
              <w:rPr>
                <w:b/>
                <w:lang w:val="en-US"/>
              </w:rPr>
              <w:t xml:space="preserve">Facilitator role </w:t>
            </w:r>
          </w:p>
        </w:tc>
      </w:tr>
      <w:tr w:rsidR="00BD62A2" w:rsidRPr="000A3B15" w14:paraId="1E419A2D" w14:textId="77777777" w:rsidTr="00091901">
        <w:trPr>
          <w:trHeight w:val="523"/>
        </w:trPr>
        <w:tc>
          <w:tcPr>
            <w:tcW w:w="2660" w:type="dxa"/>
          </w:tcPr>
          <w:p w14:paraId="424ABDE0" w14:textId="77777777" w:rsidR="00BD62A2" w:rsidRPr="000A3B15" w:rsidRDefault="00BD62A2" w:rsidP="00091901">
            <w:pPr>
              <w:rPr>
                <w:lang w:val="en-US"/>
              </w:rPr>
            </w:pPr>
            <w:r w:rsidRPr="000A3B15">
              <w:rPr>
                <w:lang w:val="en-US"/>
              </w:rPr>
              <w:t xml:space="preserve">Functioning/mechanism </w:t>
            </w:r>
          </w:p>
        </w:tc>
        <w:tc>
          <w:tcPr>
            <w:tcW w:w="6592" w:type="dxa"/>
          </w:tcPr>
          <w:p w14:paraId="486322FA" w14:textId="77777777" w:rsidR="00BD62A2" w:rsidRPr="000A3B15" w:rsidRDefault="00BD62A2" w:rsidP="00091901">
            <w:pPr>
              <w:rPr>
                <w:lang w:val="en-US"/>
              </w:rPr>
            </w:pPr>
            <w:r w:rsidRPr="000A3B15">
              <w:rPr>
                <w:lang w:val="en-US"/>
              </w:rPr>
              <w:t>It concludes public works, supplies or services contracts or framework agreements on behalf of the cont</w:t>
            </w:r>
            <w:r w:rsidR="00091901" w:rsidRPr="000A3B15">
              <w:rPr>
                <w:lang w:val="en-US"/>
              </w:rPr>
              <w:t>racting authorities/entities or</w:t>
            </w:r>
            <w:r w:rsidRPr="000A3B15">
              <w:rPr>
                <w:lang w:val="en-US"/>
              </w:rPr>
              <w:t xml:space="preserve"> public institutions. Its role is in principle </w:t>
            </w:r>
            <w:r w:rsidRPr="000A3B15">
              <w:rPr>
                <w:lang w:val="en-US"/>
              </w:rPr>
              <w:lastRenderedPageBreak/>
              <w:t xml:space="preserve">limited to launching the procedure and awarding the contract </w:t>
            </w:r>
          </w:p>
        </w:tc>
      </w:tr>
      <w:tr w:rsidR="00BD62A2" w:rsidRPr="000A3B15" w14:paraId="7A7FAC4A" w14:textId="77777777" w:rsidTr="00091901">
        <w:trPr>
          <w:trHeight w:val="523"/>
        </w:trPr>
        <w:tc>
          <w:tcPr>
            <w:tcW w:w="2660" w:type="dxa"/>
          </w:tcPr>
          <w:p w14:paraId="55C48384" w14:textId="77777777" w:rsidR="00BD62A2" w:rsidRPr="000A3B15" w:rsidRDefault="00BD62A2" w:rsidP="00091901">
            <w:pPr>
              <w:rPr>
                <w:lang w:val="en-US"/>
              </w:rPr>
            </w:pPr>
            <w:r w:rsidRPr="000A3B15">
              <w:rPr>
                <w:lang w:val="en-US"/>
              </w:rPr>
              <w:lastRenderedPageBreak/>
              <w:t xml:space="preserve">Responsibilities </w:t>
            </w:r>
          </w:p>
        </w:tc>
        <w:tc>
          <w:tcPr>
            <w:tcW w:w="6592" w:type="dxa"/>
          </w:tcPr>
          <w:p w14:paraId="6EF6509E" w14:textId="77777777" w:rsidR="00BD62A2" w:rsidRPr="000A3B15" w:rsidRDefault="00BD62A2" w:rsidP="00091901">
            <w:pPr>
              <w:rPr>
                <w:lang w:val="en-US"/>
              </w:rPr>
            </w:pPr>
            <w:r w:rsidRPr="000A3B15">
              <w:rPr>
                <w:lang w:val="en-US"/>
              </w:rPr>
              <w:t xml:space="preserve">Once the contract is notified, each beneficiary is responsible for the completion of the procedure. There is a contractual relation between the tenderer and each beneficiary (each beneficiary who has acceded to the agreement). </w:t>
            </w:r>
          </w:p>
        </w:tc>
      </w:tr>
      <w:tr w:rsidR="00BD62A2" w:rsidRPr="000A3B15" w14:paraId="562E7AB5" w14:textId="77777777" w:rsidTr="00091901">
        <w:trPr>
          <w:trHeight w:val="970"/>
        </w:trPr>
        <w:tc>
          <w:tcPr>
            <w:tcW w:w="2660" w:type="dxa"/>
          </w:tcPr>
          <w:p w14:paraId="0F018C7F" w14:textId="77777777" w:rsidR="00BD62A2" w:rsidRPr="000A3B15" w:rsidRDefault="00BD62A2" w:rsidP="00091901">
            <w:pPr>
              <w:rPr>
                <w:lang w:val="en-US"/>
              </w:rPr>
            </w:pPr>
            <w:r w:rsidRPr="000A3B15">
              <w:rPr>
                <w:lang w:val="en-US"/>
              </w:rPr>
              <w:t xml:space="preserve">Activities </w:t>
            </w:r>
          </w:p>
        </w:tc>
        <w:tc>
          <w:tcPr>
            <w:tcW w:w="6592" w:type="dxa"/>
          </w:tcPr>
          <w:p w14:paraId="4977901F" w14:textId="77777777" w:rsidR="00AB638D" w:rsidRPr="000A3B15" w:rsidRDefault="00AB638D" w:rsidP="00091901">
            <w:pPr>
              <w:pStyle w:val="ListParagraph"/>
              <w:numPr>
                <w:ilvl w:val="0"/>
                <w:numId w:val="37"/>
              </w:numPr>
              <w:rPr>
                <w:lang w:val="en-US"/>
              </w:rPr>
            </w:pPr>
            <w:r w:rsidRPr="000A3B15">
              <w:rPr>
                <w:lang w:val="en-US"/>
              </w:rPr>
              <w:t>acts as an Assistant to the Contracting Authority for the client</w:t>
            </w:r>
          </w:p>
          <w:p w14:paraId="0AE0C0A5" w14:textId="77777777" w:rsidR="00AB638D" w:rsidRPr="000A3B15" w:rsidRDefault="00AB638D" w:rsidP="00091901">
            <w:pPr>
              <w:pStyle w:val="ListParagraph"/>
              <w:numPr>
                <w:ilvl w:val="0"/>
                <w:numId w:val="37"/>
              </w:numPr>
              <w:rPr>
                <w:lang w:val="en-US"/>
              </w:rPr>
            </w:pPr>
            <w:r w:rsidRPr="000A3B15">
              <w:rPr>
                <w:lang w:val="en-US"/>
              </w:rPr>
              <w:t xml:space="preserve">the contracts are concluded between the client and the ESCO’s </w:t>
            </w:r>
          </w:p>
          <w:p w14:paraId="6B4B2313" w14:textId="77777777" w:rsidR="00AB638D" w:rsidRPr="000A3B15" w:rsidRDefault="00AB638D" w:rsidP="00091901">
            <w:pPr>
              <w:pStyle w:val="ListParagraph"/>
              <w:numPr>
                <w:ilvl w:val="0"/>
                <w:numId w:val="37"/>
              </w:numPr>
              <w:rPr>
                <w:lang w:val="en-US"/>
              </w:rPr>
            </w:pPr>
            <w:r w:rsidRPr="000A3B15">
              <w:rPr>
                <w:lang w:val="en-US"/>
              </w:rPr>
              <w:t>acts as a facilitator: selection of the buildings, draft of the specifications, selection of the financiers (ESCO’s and others) and negotiations with them</w:t>
            </w:r>
          </w:p>
          <w:p w14:paraId="3C8D8564" w14:textId="77777777" w:rsidR="00AB638D" w:rsidRPr="000A3B15" w:rsidRDefault="00AB638D" w:rsidP="00091901">
            <w:pPr>
              <w:pStyle w:val="ListParagraph"/>
              <w:numPr>
                <w:ilvl w:val="0"/>
                <w:numId w:val="37"/>
              </w:numPr>
              <w:rPr>
                <w:lang w:val="en-US"/>
              </w:rPr>
            </w:pPr>
            <w:r w:rsidRPr="000A3B15">
              <w:rPr>
                <w:lang w:val="en-US"/>
              </w:rPr>
              <w:t xml:space="preserve">searches for financing for the cities and municipalities; </w:t>
            </w:r>
          </w:p>
          <w:p w14:paraId="1C431FFA" w14:textId="77777777" w:rsidR="00BD62A2" w:rsidRPr="000A3B15" w:rsidRDefault="00AB638D" w:rsidP="00091901">
            <w:pPr>
              <w:pStyle w:val="ListParagraph"/>
              <w:numPr>
                <w:ilvl w:val="0"/>
                <w:numId w:val="37"/>
              </w:numPr>
              <w:rPr>
                <w:lang w:val="en-US"/>
              </w:rPr>
            </w:pPr>
            <w:r w:rsidRPr="000A3B15">
              <w:rPr>
                <w:lang w:val="en-US"/>
              </w:rPr>
              <w:t xml:space="preserve">may offer management of EPC’s services to the municipalities </w:t>
            </w:r>
          </w:p>
        </w:tc>
      </w:tr>
    </w:tbl>
    <w:p w14:paraId="50265722" w14:textId="77777777" w:rsidR="00C15EF9" w:rsidRPr="000A3B15" w:rsidRDefault="00C15EF9" w:rsidP="00AD063D">
      <w:pPr>
        <w:rPr>
          <w:lang w:val="en-US"/>
        </w:rPr>
      </w:pPr>
    </w:p>
    <w:p w14:paraId="69E983F9" w14:textId="77777777" w:rsidR="00E21E3A" w:rsidRPr="000A3B15" w:rsidRDefault="00E21E3A" w:rsidP="00E21E3A">
      <w:pPr>
        <w:rPr>
          <w:lang w:val="en-US"/>
        </w:rPr>
      </w:pPr>
      <w:r w:rsidRPr="000A3B15">
        <w:rPr>
          <w:lang w:val="en-US"/>
        </w:rPr>
        <w:t>The Rhodoshop PDU will have the following operating services:</w:t>
      </w:r>
    </w:p>
    <w:p w14:paraId="3E78D261" w14:textId="77777777" w:rsidR="00E21E3A" w:rsidRPr="000A3B15" w:rsidRDefault="00E21E3A" w:rsidP="00E21E3A">
      <w:pPr>
        <w:pStyle w:val="ListParagraph"/>
        <w:numPr>
          <w:ilvl w:val="0"/>
          <w:numId w:val="37"/>
        </w:numPr>
        <w:rPr>
          <w:lang w:val="en-US"/>
        </w:rPr>
      </w:pPr>
      <w:r w:rsidRPr="000A3B15">
        <w:rPr>
          <w:lang w:val="en-US"/>
        </w:rPr>
        <w:t>Marketing and communication: to inform the beneficiaries of the types of offerings available to them.</w:t>
      </w:r>
    </w:p>
    <w:p w14:paraId="3C2BB4CC" w14:textId="77777777" w:rsidR="00E21E3A" w:rsidRPr="000A3B15" w:rsidRDefault="00E21E3A" w:rsidP="00E21E3A">
      <w:pPr>
        <w:pStyle w:val="ListParagraph"/>
        <w:numPr>
          <w:ilvl w:val="0"/>
          <w:numId w:val="37"/>
        </w:numPr>
        <w:rPr>
          <w:lang w:val="en-US"/>
        </w:rPr>
      </w:pPr>
      <w:r w:rsidRPr="000A3B15">
        <w:rPr>
          <w:lang w:val="en-US"/>
        </w:rPr>
        <w:t>Facilitation and client support:</w:t>
      </w:r>
    </w:p>
    <w:p w14:paraId="73C3BC9D" w14:textId="77777777" w:rsidR="00E21E3A" w:rsidRPr="000A3B15" w:rsidRDefault="00E21E3A" w:rsidP="00E21E3A">
      <w:pPr>
        <w:pStyle w:val="ListParagraph"/>
        <w:numPr>
          <w:ilvl w:val="1"/>
          <w:numId w:val="37"/>
        </w:numPr>
        <w:rPr>
          <w:lang w:val="en-US"/>
        </w:rPr>
      </w:pPr>
      <w:r w:rsidRPr="000A3B15">
        <w:rPr>
          <w:lang w:val="en-US"/>
        </w:rPr>
        <w:t>Acts as a central procurement agency on behalf of the subscribed municipalities - the facilitator who concludes public works, supplies or services contracts or framework agreements on behalf of the contracting authorities/entities or public institutions;</w:t>
      </w:r>
    </w:p>
    <w:p w14:paraId="3727D051" w14:textId="77777777" w:rsidR="00E21E3A" w:rsidRPr="000A3B15" w:rsidRDefault="00FD6C23" w:rsidP="00E21E3A">
      <w:pPr>
        <w:pStyle w:val="ListParagraph"/>
        <w:numPr>
          <w:ilvl w:val="1"/>
          <w:numId w:val="37"/>
        </w:numPr>
        <w:rPr>
          <w:lang w:val="en-US"/>
        </w:rPr>
      </w:pPr>
      <w:r w:rsidRPr="000A3B15">
        <w:rPr>
          <w:lang w:val="en-US"/>
        </w:rPr>
        <w:t>Act as a knowledge center</w:t>
      </w:r>
      <w:r w:rsidR="00E21E3A" w:rsidRPr="000A3B15">
        <w:rPr>
          <w:lang w:val="en-US"/>
        </w:rPr>
        <w:t>;</w:t>
      </w:r>
    </w:p>
    <w:p w14:paraId="0D6F81E1" w14:textId="77777777" w:rsidR="00E21E3A" w:rsidRPr="000A3B15" w:rsidRDefault="00E21E3A" w:rsidP="00E21E3A">
      <w:pPr>
        <w:pStyle w:val="ListParagraph"/>
        <w:numPr>
          <w:ilvl w:val="1"/>
          <w:numId w:val="37"/>
        </w:numPr>
        <w:rPr>
          <w:lang w:val="en-US"/>
        </w:rPr>
      </w:pPr>
      <w:r w:rsidRPr="000A3B15">
        <w:rPr>
          <w:lang w:val="en-US"/>
        </w:rPr>
        <w:t>Gather competences and resources in one place (audits, works to be realized, financial viability calculations, define tendering specifications and assess received offers against pre-defined criteria).</w:t>
      </w:r>
    </w:p>
    <w:p w14:paraId="09D64F09" w14:textId="77777777" w:rsidR="00E21E3A" w:rsidRPr="000A3B15" w:rsidRDefault="00E21E3A" w:rsidP="00E21E3A">
      <w:pPr>
        <w:pStyle w:val="ListParagraph"/>
        <w:numPr>
          <w:ilvl w:val="1"/>
          <w:numId w:val="37"/>
        </w:numPr>
        <w:rPr>
          <w:lang w:val="en-US"/>
        </w:rPr>
      </w:pPr>
      <w:r w:rsidRPr="000A3B15">
        <w:rPr>
          <w:lang w:val="en-US"/>
        </w:rPr>
        <w:t>Helps identify financing solutions applicable to different municipalities/clients – as Rhodope municipalities are of different size they are eligible for financing under different schemes. The PDU will investigate the opportunities and will identify suitable financing sources depending on client’s profile.</w:t>
      </w:r>
    </w:p>
    <w:p w14:paraId="7DA2CBE1" w14:textId="77777777" w:rsidR="00E21E3A" w:rsidRPr="000A3B15" w:rsidRDefault="00E21E3A" w:rsidP="00E21E3A">
      <w:pPr>
        <w:pStyle w:val="ListParagraph"/>
        <w:numPr>
          <w:ilvl w:val="1"/>
          <w:numId w:val="37"/>
        </w:numPr>
        <w:rPr>
          <w:lang w:val="en-US"/>
        </w:rPr>
      </w:pPr>
      <w:r w:rsidRPr="000A3B15">
        <w:rPr>
          <w:lang w:val="en-US"/>
        </w:rPr>
        <w:t>Assist in finding and negotiates the terms and conditions with ESCOs and other financiers;</w:t>
      </w:r>
    </w:p>
    <w:p w14:paraId="69747F1B" w14:textId="77777777" w:rsidR="00E21E3A" w:rsidRPr="000A3B15" w:rsidRDefault="00E21E3A" w:rsidP="00E21E3A">
      <w:pPr>
        <w:pStyle w:val="ListParagraph"/>
        <w:numPr>
          <w:ilvl w:val="1"/>
          <w:numId w:val="37"/>
        </w:numPr>
        <w:rPr>
          <w:lang w:val="en-US"/>
        </w:rPr>
      </w:pPr>
      <w:r w:rsidRPr="000A3B15">
        <w:rPr>
          <w:lang w:val="en-US"/>
        </w:rPr>
        <w:t>Monitor project results</w:t>
      </w:r>
    </w:p>
    <w:p w14:paraId="353D1F21" w14:textId="77777777" w:rsidR="00E21E3A" w:rsidRPr="000A3B15" w:rsidRDefault="00E21E3A" w:rsidP="00E21E3A">
      <w:pPr>
        <w:pStyle w:val="ListParagraph"/>
        <w:numPr>
          <w:ilvl w:val="0"/>
          <w:numId w:val="37"/>
        </w:numPr>
        <w:rPr>
          <w:lang w:val="en-US"/>
        </w:rPr>
      </w:pPr>
      <w:r w:rsidRPr="000A3B15">
        <w:rPr>
          <w:lang w:val="en-US"/>
        </w:rPr>
        <w:t>Project Bundling</w:t>
      </w:r>
    </w:p>
    <w:p w14:paraId="04DFF32F" w14:textId="77777777" w:rsidR="00E21E3A" w:rsidRPr="000A3B15" w:rsidRDefault="00E21E3A" w:rsidP="00E21E3A">
      <w:pPr>
        <w:pStyle w:val="ListParagraph"/>
        <w:numPr>
          <w:ilvl w:val="1"/>
          <w:numId w:val="37"/>
        </w:numPr>
        <w:rPr>
          <w:lang w:val="en-US"/>
        </w:rPr>
      </w:pPr>
      <w:r w:rsidRPr="000A3B15">
        <w:rPr>
          <w:lang w:val="en-US"/>
        </w:rPr>
        <w:t>Bundle projects across different clients / municipalities which allows to diversify the risks, get better financing mechanisms, makes synergies across the retrofit projects and attract professional companies</w:t>
      </w:r>
    </w:p>
    <w:p w14:paraId="1E80FC69" w14:textId="77777777" w:rsidR="00E21E3A" w:rsidRPr="000A3B15" w:rsidRDefault="00E21E3A" w:rsidP="00E21E3A">
      <w:pPr>
        <w:pStyle w:val="ListParagraph"/>
        <w:numPr>
          <w:ilvl w:val="1"/>
          <w:numId w:val="37"/>
        </w:numPr>
        <w:rPr>
          <w:lang w:val="en-US"/>
        </w:rPr>
      </w:pPr>
      <w:r w:rsidRPr="000A3B15">
        <w:rPr>
          <w:lang w:val="en-US"/>
        </w:rPr>
        <w:t>Increase the size of the projects and the investment size</w:t>
      </w:r>
    </w:p>
    <w:p w14:paraId="556013AC" w14:textId="77777777" w:rsidR="00091901" w:rsidRPr="000A3B15" w:rsidRDefault="00E21E3A" w:rsidP="00E21E3A">
      <w:pPr>
        <w:pStyle w:val="ListParagraph"/>
        <w:numPr>
          <w:ilvl w:val="1"/>
          <w:numId w:val="37"/>
        </w:numPr>
        <w:rPr>
          <w:lang w:val="en-US"/>
        </w:rPr>
      </w:pPr>
      <w:r w:rsidRPr="000A3B15">
        <w:rPr>
          <w:lang w:val="en-US"/>
        </w:rPr>
        <w:t>Create more attractive investment opportunities for building contractors, ESCOs, maintenance companies, financial Sector</w:t>
      </w:r>
    </w:p>
    <w:p w14:paraId="61DF8AEB" w14:textId="77777777" w:rsidR="00BD62A2" w:rsidRPr="000A3B15" w:rsidRDefault="00E82AC0" w:rsidP="00AD063D">
      <w:pPr>
        <w:rPr>
          <w:lang w:val="en-US"/>
        </w:rPr>
      </w:pPr>
      <w:r w:rsidRPr="000A3B15">
        <w:rPr>
          <w:lang w:val="en-US"/>
        </w:rPr>
        <w:t>The staff is composed of the following people:</w:t>
      </w:r>
    </w:p>
    <w:p w14:paraId="57E1469E" w14:textId="77777777" w:rsidR="00E82AC0" w:rsidRPr="000A3B15" w:rsidRDefault="00E82AC0" w:rsidP="00E82AC0">
      <w:pPr>
        <w:pStyle w:val="ListParagraph"/>
        <w:numPr>
          <w:ilvl w:val="0"/>
          <w:numId w:val="40"/>
        </w:numPr>
        <w:rPr>
          <w:lang w:val="en-US"/>
        </w:rPr>
      </w:pPr>
      <w:r w:rsidRPr="000A3B15">
        <w:rPr>
          <w:lang w:val="en-US"/>
        </w:rPr>
        <w:lastRenderedPageBreak/>
        <w:t>Rhodoshop Manager</w:t>
      </w:r>
    </w:p>
    <w:p w14:paraId="785EEECA" w14:textId="77777777" w:rsidR="00E82AC0" w:rsidRPr="000A3B15" w:rsidRDefault="00E82AC0" w:rsidP="00E82AC0">
      <w:pPr>
        <w:pStyle w:val="ListParagraph"/>
        <w:numPr>
          <w:ilvl w:val="0"/>
          <w:numId w:val="40"/>
        </w:numPr>
        <w:rPr>
          <w:lang w:val="en-US"/>
        </w:rPr>
      </w:pPr>
      <w:r w:rsidRPr="000A3B15">
        <w:rPr>
          <w:lang w:val="en-US"/>
        </w:rPr>
        <w:t>Rhodoshop technical expert</w:t>
      </w:r>
    </w:p>
    <w:p w14:paraId="6CFBC1F4" w14:textId="77777777" w:rsidR="00E82AC0" w:rsidRPr="000A3B15" w:rsidRDefault="00E82AC0" w:rsidP="00E82AC0">
      <w:pPr>
        <w:pStyle w:val="ListParagraph"/>
        <w:numPr>
          <w:ilvl w:val="0"/>
          <w:numId w:val="40"/>
        </w:numPr>
        <w:rPr>
          <w:lang w:val="en-US"/>
        </w:rPr>
      </w:pPr>
      <w:r w:rsidRPr="000A3B15">
        <w:rPr>
          <w:lang w:val="en-US"/>
        </w:rPr>
        <w:t>Rhodoshop economic/financial expert</w:t>
      </w:r>
    </w:p>
    <w:p w14:paraId="114C902D" w14:textId="77777777" w:rsidR="00E82AC0" w:rsidRPr="000A3B15" w:rsidRDefault="00E82AC0" w:rsidP="00AD063D">
      <w:pPr>
        <w:rPr>
          <w:lang w:val="en-US"/>
        </w:rPr>
      </w:pPr>
    </w:p>
    <w:tbl>
      <w:tblPr>
        <w:tblStyle w:val="MediumGrid2-Accent6"/>
        <w:tblW w:w="0" w:type="auto"/>
        <w:tblLook w:val="04A0" w:firstRow="1" w:lastRow="0" w:firstColumn="1" w:lastColumn="0" w:noHBand="0" w:noVBand="1"/>
      </w:tblPr>
      <w:tblGrid>
        <w:gridCol w:w="2802"/>
        <w:gridCol w:w="6804"/>
      </w:tblGrid>
      <w:tr w:rsidR="00967801" w:rsidRPr="000A3B15" w14:paraId="51BFBA6A" w14:textId="77777777"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4143BC6E" w14:textId="77777777" w:rsidR="00967801" w:rsidRPr="000A3B15" w:rsidRDefault="00967801" w:rsidP="001003D6">
            <w:pPr>
              <w:rPr>
                <w:rStyle w:val="Emphasis"/>
                <w:lang w:val="en-US"/>
              </w:rPr>
            </w:pPr>
            <w:r w:rsidRPr="000A3B15">
              <w:rPr>
                <w:rStyle w:val="Emphasis"/>
                <w:lang w:val="en-US"/>
              </w:rPr>
              <w:t>Legal structure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5EA096A2" w14:textId="77777777" w:rsidR="00967801" w:rsidRPr="000A3B15" w:rsidRDefault="008916FF" w:rsidP="001D05B3">
            <w:pPr>
              <w:tabs>
                <w:tab w:val="center" w:pos="3294"/>
              </w:tabs>
              <w:cnfStyle w:val="100000000000" w:firstRow="1" w:lastRow="0" w:firstColumn="0" w:lastColumn="0" w:oddVBand="0" w:evenVBand="0" w:oddHBand="0" w:evenHBand="0" w:firstRowFirstColumn="0" w:firstRowLastColumn="0" w:lastRowFirstColumn="0" w:lastRowLastColumn="0"/>
              <w:rPr>
                <w:b w:val="0"/>
                <w:lang w:val="en-US"/>
              </w:rPr>
            </w:pPr>
            <w:r w:rsidRPr="000A3B15">
              <w:rPr>
                <w:b w:val="0"/>
                <w:lang w:val="en-US"/>
              </w:rPr>
              <w:t>Integrated in ARM</w:t>
            </w:r>
          </w:p>
        </w:tc>
      </w:tr>
      <w:tr w:rsidR="00967801" w:rsidRPr="000A3B15" w14:paraId="7F148814"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435F4E1F" w14:textId="77777777" w:rsidR="00967801" w:rsidRPr="000A3B15" w:rsidRDefault="00967801" w:rsidP="001003D6">
            <w:pPr>
              <w:rPr>
                <w:rStyle w:val="Emphasis"/>
                <w:lang w:val="en-US"/>
              </w:rPr>
            </w:pPr>
            <w:r w:rsidRPr="000A3B15">
              <w:rPr>
                <w:lang w:val="en-US"/>
              </w:rPr>
              <w:t>Shareholder description</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3A44DE64" w14:textId="77777777" w:rsidR="00A7689B" w:rsidRPr="000A3B15" w:rsidRDefault="00164BC2" w:rsidP="001003D6">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N/A</w:t>
            </w:r>
          </w:p>
        </w:tc>
      </w:tr>
      <w:tr w:rsidR="00861B78" w:rsidRPr="000A3B15" w14:paraId="3A6EF08D" w14:textId="77777777"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51B55ABB" w14:textId="77777777" w:rsidR="00861B78" w:rsidRPr="000A3B15" w:rsidRDefault="00861B78" w:rsidP="00994924">
            <w:pPr>
              <w:rPr>
                <w:rStyle w:val="Emphasis"/>
                <w:lang w:val="en-US"/>
              </w:rPr>
            </w:pPr>
            <w:r w:rsidRPr="000A3B15">
              <w:rPr>
                <w:lang w:val="en-US"/>
              </w:rPr>
              <w:t>Equity</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35668E54" w14:textId="77777777" w:rsidR="00861B78" w:rsidRPr="000A3B15" w:rsidRDefault="008916FF" w:rsidP="00D80D2F">
            <w:pPr>
              <w:cnfStyle w:val="000000000000" w:firstRow="0" w:lastRow="0" w:firstColumn="0" w:lastColumn="0" w:oddVBand="0" w:evenVBand="0" w:oddHBand="0" w:evenHBand="0" w:firstRowFirstColumn="0" w:firstRowLastColumn="0" w:lastRowFirstColumn="0" w:lastRowLastColumn="0"/>
              <w:rPr>
                <w:b/>
                <w:lang w:val="en-US"/>
              </w:rPr>
            </w:pPr>
            <w:r w:rsidRPr="000A3B15">
              <w:rPr>
                <w:lang w:val="en-US" w:eastAsia="fr-FR"/>
              </w:rPr>
              <w:t>N/A</w:t>
            </w:r>
          </w:p>
        </w:tc>
      </w:tr>
      <w:tr w:rsidR="00EC6B3A" w:rsidRPr="000A3B15" w14:paraId="7891485F"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4D0F285D" w14:textId="77777777" w:rsidR="00EC6B3A" w:rsidRPr="000A3B15" w:rsidRDefault="00EC6B3A" w:rsidP="001003D6">
            <w:pPr>
              <w:rPr>
                <w:lang w:val="en-US"/>
              </w:rPr>
            </w:pPr>
            <w:r w:rsidRPr="000A3B15">
              <w:rPr>
                <w:lang w:val="en-US"/>
              </w:rPr>
              <w:t>Shareholders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598C5B24" w14:textId="77777777" w:rsidR="00EC6B3A" w:rsidRPr="000A3B15" w:rsidRDefault="008916FF" w:rsidP="001003D6">
            <w:pPr>
              <w:cnfStyle w:val="000000100000" w:firstRow="0" w:lastRow="0" w:firstColumn="0" w:lastColumn="0" w:oddVBand="0" w:evenVBand="0" w:oddHBand="1" w:evenHBand="0" w:firstRowFirstColumn="0" w:firstRowLastColumn="0" w:lastRowFirstColumn="0" w:lastRowLastColumn="0"/>
              <w:rPr>
                <w:lang w:val="en-US" w:eastAsia="fr-FR"/>
              </w:rPr>
            </w:pPr>
            <w:r w:rsidRPr="000A3B15">
              <w:rPr>
                <w:lang w:val="en-US"/>
              </w:rPr>
              <w:t>ARM</w:t>
            </w:r>
          </w:p>
        </w:tc>
      </w:tr>
      <w:tr w:rsidR="00EC6B3A" w:rsidRPr="000A3B15" w14:paraId="7E852A42" w14:textId="77777777"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78924B9C" w14:textId="77777777" w:rsidR="00EC6B3A" w:rsidRPr="000A3B15" w:rsidRDefault="00EC6B3A" w:rsidP="001003D6">
            <w:pPr>
              <w:rPr>
                <w:lang w:val="en-US"/>
              </w:rPr>
            </w:pPr>
            <w:r w:rsidRPr="000A3B15">
              <w:rPr>
                <w:lang w:val="en-US"/>
              </w:rPr>
              <w:t>Program dedicated staff</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1F6B9D7B" w14:textId="77777777" w:rsidR="00EC6B3A" w:rsidRPr="000A3B15" w:rsidRDefault="008916FF" w:rsidP="008916FF">
            <w:pPr>
              <w:cnfStyle w:val="000000000000" w:firstRow="0" w:lastRow="0" w:firstColumn="0" w:lastColumn="0" w:oddVBand="0" w:evenVBand="0" w:oddHBand="0" w:evenHBand="0" w:firstRowFirstColumn="0" w:firstRowLastColumn="0" w:lastRowFirstColumn="0" w:lastRowLastColumn="0"/>
              <w:rPr>
                <w:lang w:val="en-US" w:eastAsia="fr-FR"/>
              </w:rPr>
            </w:pPr>
            <w:r w:rsidRPr="000A3B15">
              <w:rPr>
                <w:lang w:val="en-US" w:eastAsia="fr-FR"/>
              </w:rPr>
              <w:t xml:space="preserve">Low – </w:t>
            </w:r>
            <w:r w:rsidR="00491572" w:rsidRPr="000A3B15">
              <w:rPr>
                <w:lang w:val="en-US" w:eastAsia="fr-FR"/>
              </w:rPr>
              <w:t xml:space="preserve">&lt; </w:t>
            </w:r>
            <w:r w:rsidRPr="000A3B15">
              <w:rPr>
                <w:lang w:val="en-US" w:eastAsia="fr-FR"/>
              </w:rPr>
              <w:t>5</w:t>
            </w:r>
            <w:r w:rsidR="00EC6B3A" w:rsidRPr="000A3B15">
              <w:rPr>
                <w:lang w:val="en-US" w:eastAsia="fr-FR"/>
              </w:rPr>
              <w:t xml:space="preserve"> FTE</w:t>
            </w:r>
          </w:p>
        </w:tc>
      </w:tr>
      <w:tr w:rsidR="00EC6B3A" w:rsidRPr="000A3B15" w14:paraId="2FBC18B6"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55B3171E" w14:textId="77777777" w:rsidR="00EC6B3A" w:rsidRPr="000A3B15" w:rsidRDefault="00EC6B3A" w:rsidP="001003D6">
            <w:pPr>
              <w:rPr>
                <w:rStyle w:val="Emphasis"/>
                <w:lang w:val="en-US"/>
              </w:rPr>
            </w:pPr>
            <w:r w:rsidRPr="000A3B15">
              <w:rPr>
                <w:lang w:val="en-US"/>
              </w:rPr>
              <w:t>Program operational costs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528ABE87" w14:textId="77777777" w:rsidR="00EC6B3A" w:rsidRPr="000A3B15" w:rsidRDefault="00EC6B3A" w:rsidP="001003D6">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Moderate</w:t>
            </w:r>
          </w:p>
        </w:tc>
      </w:tr>
    </w:tbl>
    <w:p w14:paraId="5E0CC586" w14:textId="77777777" w:rsidR="0054393F" w:rsidRPr="000A3B15" w:rsidRDefault="0054393F" w:rsidP="00702D1C">
      <w:pPr>
        <w:pStyle w:val="Heading1"/>
        <w:rPr>
          <w:lang w:val="en-US"/>
        </w:rPr>
      </w:pPr>
    </w:p>
    <w:p w14:paraId="2B02837E" w14:textId="77777777" w:rsidR="00E444CF" w:rsidRPr="000A3B15" w:rsidRDefault="00E444CF" w:rsidP="00702D1C">
      <w:pPr>
        <w:pStyle w:val="Heading1"/>
        <w:rPr>
          <w:lang w:val="en-US"/>
        </w:rPr>
      </w:pPr>
      <w:r w:rsidRPr="000A3B15">
        <w:rPr>
          <w:lang w:val="en-US"/>
        </w:rPr>
        <w:t>Organization and partnerships</w:t>
      </w:r>
    </w:p>
    <w:p w14:paraId="1A7B3C23" w14:textId="77777777" w:rsidR="00D80D2F" w:rsidRPr="000A3B15" w:rsidRDefault="00D80D2F" w:rsidP="00E444CF">
      <w:pPr>
        <w:rPr>
          <w:b/>
          <w:lang w:val="en-US"/>
        </w:rPr>
      </w:pPr>
    </w:p>
    <w:p w14:paraId="04BEC982" w14:textId="77777777" w:rsidR="00402BBC" w:rsidRPr="000A3B15" w:rsidRDefault="00402BBC" w:rsidP="00402BBC">
      <w:pPr>
        <w:rPr>
          <w:lang w:val="en-US"/>
        </w:rPr>
      </w:pPr>
      <w:r w:rsidRPr="000A3B15">
        <w:rPr>
          <w:lang w:val="en-US"/>
        </w:rPr>
        <w:t>The organizational scheme is as follows:</w:t>
      </w:r>
    </w:p>
    <w:p w14:paraId="26453BF2" w14:textId="77777777" w:rsidR="00402BBC" w:rsidRPr="000A3B15" w:rsidRDefault="00402BBC" w:rsidP="00402BBC">
      <w:pPr>
        <w:rPr>
          <w:lang w:val="en-US"/>
        </w:rPr>
      </w:pPr>
    </w:p>
    <w:p w14:paraId="491983D6" w14:textId="77777777" w:rsidR="00402BBC" w:rsidRPr="000A3B15" w:rsidRDefault="00402BBC" w:rsidP="00402BBC">
      <w:pPr>
        <w:rPr>
          <w:lang w:val="en-US"/>
        </w:rPr>
      </w:pPr>
      <w:r w:rsidRPr="000A3B15">
        <w:rPr>
          <w:noProof/>
          <w:lang w:val="nl-BE" w:eastAsia="nl-BE"/>
        </w:rPr>
        <w:drawing>
          <wp:inline distT="0" distB="0" distL="0" distR="0" wp14:anchorId="140EF8C4" wp14:editId="1D6A2AE8">
            <wp:extent cx="5972810" cy="40935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093585"/>
                    </a:xfrm>
                    <a:prstGeom prst="rect">
                      <a:avLst/>
                    </a:prstGeom>
                    <a:noFill/>
                    <a:ln>
                      <a:noFill/>
                    </a:ln>
                  </pic:spPr>
                </pic:pic>
              </a:graphicData>
            </a:graphic>
          </wp:inline>
        </w:drawing>
      </w:r>
    </w:p>
    <w:p w14:paraId="72E3892C" w14:textId="77777777" w:rsidR="00FD6C23" w:rsidRPr="000A3B15" w:rsidRDefault="00FD6C23" w:rsidP="00402BBC">
      <w:pPr>
        <w:rPr>
          <w:lang w:val="en-US"/>
        </w:rPr>
      </w:pPr>
    </w:p>
    <w:p w14:paraId="1E12546C" w14:textId="77777777" w:rsidR="00FD6C23" w:rsidRPr="000A3B15" w:rsidRDefault="00FD6C23" w:rsidP="00402BBC">
      <w:pPr>
        <w:rPr>
          <w:lang w:val="en-US"/>
        </w:rPr>
      </w:pPr>
      <w:r w:rsidRPr="000A3B15">
        <w:rPr>
          <w:lang w:val="en-US"/>
        </w:rPr>
        <w:t>Partners include the National Association of Municipalities in Republic of Bulgaria (NAMRB) and Climate Alliance.</w:t>
      </w:r>
    </w:p>
    <w:p w14:paraId="403D7B64" w14:textId="77777777" w:rsidR="00003575" w:rsidRPr="000A3B15" w:rsidRDefault="001F6AAC" w:rsidP="00702D1C">
      <w:pPr>
        <w:pStyle w:val="Heading1"/>
        <w:rPr>
          <w:lang w:val="en-US"/>
        </w:rPr>
      </w:pPr>
      <w:r w:rsidRPr="000A3B15">
        <w:rPr>
          <w:lang w:val="en-US"/>
        </w:rPr>
        <w:t>Beneficiaries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1003D6" w:rsidRPr="000A3B15" w14:paraId="2DF09521" w14:textId="77777777" w:rsidTr="00FC0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14:paraId="11B38219" w14:textId="77777777" w:rsidR="001003D6" w:rsidRPr="000A3B15" w:rsidRDefault="001003D6" w:rsidP="001003D6">
            <w:pPr>
              <w:rPr>
                <w:rStyle w:val="Emphasis"/>
                <w:lang w:val="en-US"/>
              </w:rPr>
            </w:pPr>
            <w:r w:rsidRPr="000A3B15">
              <w:rPr>
                <w:rStyle w:val="Emphasis"/>
                <w:lang w:val="en-US"/>
              </w:rPr>
              <w:t>Beneficiaries</w:t>
            </w:r>
          </w:p>
        </w:tc>
        <w:tc>
          <w:tcPr>
            <w:tcW w:w="6804" w:type="dxa"/>
            <w:shd w:val="clear" w:color="auto" w:fill="auto"/>
          </w:tcPr>
          <w:p w14:paraId="2E92B999" w14:textId="77777777" w:rsidR="001003D6" w:rsidRPr="000A3B15" w:rsidRDefault="00A7689B" w:rsidP="001003D6">
            <w:pPr>
              <w:cnfStyle w:val="100000000000" w:firstRow="1" w:lastRow="0" w:firstColumn="0" w:lastColumn="0" w:oddVBand="0" w:evenVBand="0" w:oddHBand="0" w:evenHBand="0" w:firstRowFirstColumn="0" w:firstRowLastColumn="0" w:lastRowFirstColumn="0" w:lastRowLastColumn="0"/>
              <w:rPr>
                <w:b w:val="0"/>
                <w:lang w:val="en-US"/>
              </w:rPr>
            </w:pPr>
            <w:r w:rsidRPr="000A3B15">
              <w:rPr>
                <w:b w:val="0"/>
                <w:lang w:val="en-US"/>
              </w:rPr>
              <w:t xml:space="preserve">Municipalities in the </w:t>
            </w:r>
            <w:r w:rsidR="00491572" w:rsidRPr="000A3B15">
              <w:rPr>
                <w:b w:val="0"/>
                <w:lang w:val="en-US"/>
              </w:rPr>
              <w:t>Rhodope region</w:t>
            </w:r>
          </w:p>
          <w:p w14:paraId="4DE6E51E" w14:textId="77777777" w:rsidR="005A7F43" w:rsidRPr="000A3B15" w:rsidRDefault="005A7F43" w:rsidP="00DA4A64">
            <w:pPr>
              <w:cnfStyle w:val="100000000000" w:firstRow="1" w:lastRow="0" w:firstColumn="0" w:lastColumn="0" w:oddVBand="0" w:evenVBand="0" w:oddHBand="0" w:evenHBand="0" w:firstRowFirstColumn="0" w:firstRowLastColumn="0" w:lastRowFirstColumn="0" w:lastRowLastColumn="0"/>
              <w:rPr>
                <w:b w:val="0"/>
                <w:lang w:val="en-US"/>
              </w:rPr>
            </w:pPr>
          </w:p>
        </w:tc>
      </w:tr>
      <w:tr w:rsidR="001003D6" w:rsidRPr="000A3B15" w14:paraId="26BFB8A0" w14:textId="77777777"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0195D5AE" w14:textId="77777777" w:rsidR="001003D6" w:rsidRPr="000A3B15" w:rsidRDefault="001003D6" w:rsidP="001003D6">
            <w:pPr>
              <w:rPr>
                <w:rStyle w:val="Emphasis"/>
                <w:lang w:val="en-US"/>
              </w:rPr>
            </w:pPr>
            <w:r w:rsidRPr="000A3B15">
              <w:rPr>
                <w:rStyle w:val="Emphasis"/>
                <w:lang w:val="en-US"/>
              </w:rPr>
              <w:t>Type of projects</w:t>
            </w:r>
          </w:p>
        </w:tc>
        <w:tc>
          <w:tcPr>
            <w:tcW w:w="6804" w:type="dxa"/>
            <w:tcBorders>
              <w:left w:val="none" w:sz="0" w:space="0" w:color="auto"/>
            </w:tcBorders>
            <w:shd w:val="clear" w:color="auto" w:fill="auto"/>
          </w:tcPr>
          <w:p w14:paraId="6C331AA6" w14:textId="77777777" w:rsidR="001003D6" w:rsidRPr="000A3B15" w:rsidRDefault="008A6687" w:rsidP="001003D6">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Energy Efficiency (building retrofits)</w:t>
            </w:r>
          </w:p>
          <w:p w14:paraId="7F92331C" w14:textId="77777777" w:rsidR="00491572" w:rsidRPr="000A3B15" w:rsidRDefault="00491572" w:rsidP="001003D6">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Street lighting projects</w:t>
            </w:r>
          </w:p>
        </w:tc>
      </w:tr>
      <w:tr w:rsidR="001003D6" w:rsidRPr="000A3B15" w14:paraId="782A2256" w14:textId="77777777" w:rsidTr="00FC099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241AAAEB" w14:textId="77777777" w:rsidR="001003D6" w:rsidRPr="000A3B15" w:rsidRDefault="001003D6" w:rsidP="001003D6">
            <w:pPr>
              <w:rPr>
                <w:rStyle w:val="Emphasis"/>
                <w:lang w:val="en-US"/>
              </w:rPr>
            </w:pPr>
            <w:r w:rsidRPr="000A3B15">
              <w:rPr>
                <w:rStyle w:val="Emphasis"/>
                <w:lang w:val="en-US"/>
              </w:rPr>
              <w:t>Operational support</w:t>
            </w:r>
          </w:p>
        </w:tc>
        <w:tc>
          <w:tcPr>
            <w:tcW w:w="6804" w:type="dxa"/>
            <w:shd w:val="clear" w:color="auto" w:fill="auto"/>
          </w:tcPr>
          <w:p w14:paraId="2E1BB637" w14:textId="77777777" w:rsidR="001003D6" w:rsidRPr="000A3B15" w:rsidRDefault="00BA0338" w:rsidP="00D22378">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Project</w:t>
            </w:r>
            <w:r w:rsidR="005A7F43" w:rsidRPr="000A3B15">
              <w:rPr>
                <w:lang w:val="en-US"/>
              </w:rPr>
              <w:t xml:space="preserve"> facilitation </w:t>
            </w:r>
            <w:r w:rsidRPr="000A3B15">
              <w:rPr>
                <w:lang w:val="en-US"/>
              </w:rPr>
              <w:t>through the Project Delivery U</w:t>
            </w:r>
            <w:r w:rsidR="005A7F43" w:rsidRPr="000A3B15">
              <w:rPr>
                <w:lang w:val="en-US"/>
              </w:rPr>
              <w:t>nit</w:t>
            </w:r>
          </w:p>
        </w:tc>
      </w:tr>
      <w:tr w:rsidR="001003D6" w:rsidRPr="000A3B15" w14:paraId="03A6A3BA" w14:textId="77777777"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03742C97" w14:textId="77777777" w:rsidR="001003D6" w:rsidRPr="000A3B15" w:rsidRDefault="001003D6" w:rsidP="001003D6">
            <w:pPr>
              <w:rPr>
                <w:rStyle w:val="Emphasis"/>
                <w:lang w:val="en-US"/>
              </w:rPr>
            </w:pPr>
            <w:r w:rsidRPr="000A3B15">
              <w:rPr>
                <w:rStyle w:val="Emphasis"/>
                <w:lang w:val="en-US"/>
              </w:rPr>
              <w:t>Financial support</w:t>
            </w:r>
          </w:p>
        </w:tc>
        <w:tc>
          <w:tcPr>
            <w:tcW w:w="6804" w:type="dxa"/>
            <w:tcBorders>
              <w:left w:val="none" w:sz="0" w:space="0" w:color="auto"/>
            </w:tcBorders>
            <w:shd w:val="clear" w:color="auto" w:fill="auto"/>
          </w:tcPr>
          <w:p w14:paraId="1ADF4D56" w14:textId="77777777" w:rsidR="001003D6" w:rsidRPr="000A3B15" w:rsidRDefault="00BA0338" w:rsidP="00FC099F">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Project</w:t>
            </w:r>
            <w:r w:rsidR="005A7F43" w:rsidRPr="000A3B15">
              <w:rPr>
                <w:lang w:val="en-US"/>
              </w:rPr>
              <w:t xml:space="preserve"> facilitation costs free of charge</w:t>
            </w:r>
            <w:r w:rsidR="00D22378" w:rsidRPr="000A3B15">
              <w:rPr>
                <w:lang w:val="en-US"/>
              </w:rPr>
              <w:t xml:space="preserve"> </w:t>
            </w:r>
            <w:r w:rsidR="00FC099F" w:rsidRPr="000A3B15">
              <w:rPr>
                <w:lang w:val="en-US"/>
              </w:rPr>
              <w:t>for 3 years</w:t>
            </w:r>
          </w:p>
        </w:tc>
      </w:tr>
    </w:tbl>
    <w:p w14:paraId="2AE3D4FD" w14:textId="77777777" w:rsidR="00996C6C" w:rsidRPr="000A3B15" w:rsidRDefault="00996C6C" w:rsidP="00996C6C">
      <w:pPr>
        <w:pStyle w:val="Heading1"/>
        <w:rPr>
          <w:lang w:val="en-US"/>
        </w:rPr>
      </w:pPr>
      <w:r w:rsidRPr="000A3B15">
        <w:rPr>
          <w:lang w:val="en-US"/>
        </w:rPr>
        <w:t>Funding mechanism</w:t>
      </w:r>
    </w:p>
    <w:p w14:paraId="016EAD27" w14:textId="77777777" w:rsidR="00FD6C23" w:rsidRPr="000A3B15" w:rsidRDefault="00FD6C23" w:rsidP="00DD69DA">
      <w:pPr>
        <w:rPr>
          <w:b/>
          <w:lang w:val="en-US"/>
        </w:rPr>
      </w:pPr>
    </w:p>
    <w:p w14:paraId="0DF57056" w14:textId="77777777" w:rsidR="00D230E9" w:rsidRPr="000A3B15" w:rsidRDefault="00D230E9" w:rsidP="00DD69DA">
      <w:pPr>
        <w:rPr>
          <w:b/>
          <w:lang w:val="en-US"/>
        </w:rPr>
      </w:pPr>
      <w:r w:rsidRPr="000A3B15">
        <w:rPr>
          <w:b/>
          <w:lang w:val="en-US"/>
        </w:rPr>
        <w:t>PDU Funding</w:t>
      </w:r>
    </w:p>
    <w:p w14:paraId="1BE34B71" w14:textId="77777777" w:rsidR="00D230E9" w:rsidRPr="000A3B15" w:rsidRDefault="00402BBC" w:rsidP="00DD69DA">
      <w:pPr>
        <w:rPr>
          <w:lang w:val="en-US"/>
        </w:rPr>
      </w:pPr>
      <w:r w:rsidRPr="000A3B15">
        <w:rPr>
          <w:lang w:val="en-US"/>
        </w:rPr>
        <w:t xml:space="preserve">The PDU and initial program coordination and communication is funded through a Horizon 2020 Project Development Assistance (PDA) grant for a total amount of </w:t>
      </w:r>
      <w:r w:rsidR="00FD6C23" w:rsidRPr="000A3B15">
        <w:rPr>
          <w:lang w:val="en-US"/>
        </w:rPr>
        <w:t>470 k€.</w:t>
      </w:r>
    </w:p>
    <w:p w14:paraId="79D1F5DE" w14:textId="77777777" w:rsidR="00D230E9" w:rsidRPr="000A3B15" w:rsidRDefault="00D230E9" w:rsidP="00DD69DA">
      <w:pPr>
        <w:rPr>
          <w:b/>
          <w:lang w:val="en-US"/>
        </w:rPr>
      </w:pPr>
      <w:r w:rsidRPr="000A3B15">
        <w:rPr>
          <w:b/>
          <w:lang w:val="en-US"/>
        </w:rPr>
        <w:t>Project Funding:</w:t>
      </w:r>
    </w:p>
    <w:p w14:paraId="06D2369B" w14:textId="77777777" w:rsidR="00D230E9" w:rsidRPr="000A3B15" w:rsidRDefault="00D230E9" w:rsidP="00D230E9">
      <w:pPr>
        <w:rPr>
          <w:lang w:val="en-US"/>
        </w:rPr>
      </w:pPr>
      <w:r w:rsidRPr="000A3B15">
        <w:rPr>
          <w:lang w:val="en-US"/>
        </w:rPr>
        <w:t xml:space="preserve">One of the main responsibilities of Rhodoshop structure is to assemble an investment scheme for the developed project pipelines. It will play a facilitator role in securing funding by searching for suitable financiers matching the specific project requirements, contacts and negotiations with them on behalf of subscribed local authorities and securing the best possible terms for agreement with the funding body selected. </w:t>
      </w:r>
    </w:p>
    <w:p w14:paraId="49859839" w14:textId="77777777" w:rsidR="00D230E9" w:rsidRPr="000A3B15" w:rsidRDefault="00D230E9" w:rsidP="00D230E9">
      <w:pPr>
        <w:rPr>
          <w:lang w:val="en-US"/>
        </w:rPr>
      </w:pPr>
      <w:r w:rsidRPr="000A3B15">
        <w:rPr>
          <w:lang w:val="en-US"/>
        </w:rPr>
        <w:t>The following options have been considered for the elaboration of investment projects financial plan:</w:t>
      </w:r>
    </w:p>
    <w:p w14:paraId="252D9A3A" w14:textId="77777777" w:rsidR="00947B19" w:rsidRPr="000A3B15" w:rsidRDefault="00D230E9" w:rsidP="00D230E9">
      <w:pPr>
        <w:pStyle w:val="ListParagraph"/>
        <w:numPr>
          <w:ilvl w:val="0"/>
          <w:numId w:val="39"/>
        </w:numPr>
        <w:rPr>
          <w:lang w:val="en-US"/>
        </w:rPr>
      </w:pPr>
      <w:r w:rsidRPr="000A3B15">
        <w:rPr>
          <w:lang w:val="en-US"/>
        </w:rPr>
        <w:t>Third party financing (TPFs) and ESCOs</w:t>
      </w:r>
    </w:p>
    <w:p w14:paraId="61825C8A" w14:textId="77777777" w:rsidR="00947B19" w:rsidRPr="000A3B15" w:rsidRDefault="00D230E9" w:rsidP="00D230E9">
      <w:pPr>
        <w:pStyle w:val="ListParagraph"/>
        <w:numPr>
          <w:ilvl w:val="1"/>
          <w:numId w:val="39"/>
        </w:numPr>
        <w:rPr>
          <w:lang w:val="en-US"/>
        </w:rPr>
      </w:pPr>
      <w:r w:rsidRPr="000A3B15">
        <w:rPr>
          <w:lang w:val="en-US"/>
        </w:rPr>
        <w:t>For street lighting: Ullichno osvetlenie EAD (Street Lighting Ltd.) – private shareholder company performing an ESCO contract for street lighting refurbishment, maintenance and operation with Sapareva Banya Municipality since October 2015.</w:t>
      </w:r>
    </w:p>
    <w:p w14:paraId="6125002F" w14:textId="77777777" w:rsidR="00947B19" w:rsidRPr="000A3B15" w:rsidRDefault="00D230E9" w:rsidP="00D230E9">
      <w:pPr>
        <w:pStyle w:val="ListParagraph"/>
        <w:numPr>
          <w:ilvl w:val="1"/>
          <w:numId w:val="39"/>
        </w:numPr>
        <w:rPr>
          <w:lang w:val="en-US"/>
        </w:rPr>
      </w:pPr>
      <w:r w:rsidRPr="000A3B15">
        <w:rPr>
          <w:lang w:val="en-US"/>
        </w:rPr>
        <w:t>For public buildings: ENEMONA Ltd. (for measures to improve building shell), Erato Compnay (for biomass heated boilers in public buildings), Dalkia Veolia Energy Varna (only for building energy management contracts, not investing in retrofits),</w:t>
      </w:r>
    </w:p>
    <w:p w14:paraId="6384F40C" w14:textId="77777777" w:rsidR="00D230E9" w:rsidRPr="000A3B15" w:rsidRDefault="00D230E9" w:rsidP="00947B19">
      <w:pPr>
        <w:pStyle w:val="ListParagraph"/>
        <w:numPr>
          <w:ilvl w:val="0"/>
          <w:numId w:val="39"/>
        </w:numPr>
        <w:rPr>
          <w:lang w:val="en-US"/>
        </w:rPr>
      </w:pPr>
      <w:r w:rsidRPr="000A3B15">
        <w:rPr>
          <w:lang w:val="en-US"/>
        </w:rPr>
        <w:t>Bulgarian Energy Efficiency Fund (</w:t>
      </w:r>
      <w:r w:rsidR="00195E9F" w:rsidRPr="000A3B15">
        <w:rPr>
          <w:lang w:val="en-US"/>
        </w:rPr>
        <w:t>BGEEF</w:t>
      </w:r>
      <w:r w:rsidRPr="000A3B15">
        <w:rPr>
          <w:lang w:val="en-US"/>
        </w:rPr>
        <w:t>)</w:t>
      </w:r>
    </w:p>
    <w:p w14:paraId="7E935C8D" w14:textId="77777777" w:rsidR="00947B19" w:rsidRPr="000A3B15" w:rsidRDefault="00D230E9" w:rsidP="00947B19">
      <w:pPr>
        <w:ind w:left="720"/>
        <w:rPr>
          <w:lang w:val="en-US"/>
        </w:rPr>
      </w:pPr>
      <w:r w:rsidRPr="000A3B15">
        <w:rPr>
          <w:lang w:val="en-US"/>
        </w:rPr>
        <w:t>Bulgarian Energy Efficiency Fund combines the functions of financing/guaranteeing institution and a consultancy center. The fund offers soft loans, partial credit guarantees (PCGs) and ESCO portfolio guarantees opportunities for municipalities and can be used in combination with ESCO funding and bank loans. Eligible for financing are (among others) public buildings and street lighting refurbishments.</w:t>
      </w:r>
    </w:p>
    <w:p w14:paraId="76529883" w14:textId="77777777" w:rsidR="00D230E9" w:rsidRPr="000A3B15" w:rsidRDefault="00947B19" w:rsidP="00947B19">
      <w:pPr>
        <w:pStyle w:val="ListParagraph"/>
        <w:numPr>
          <w:ilvl w:val="1"/>
          <w:numId w:val="39"/>
        </w:numPr>
        <w:rPr>
          <w:lang w:val="en-US"/>
        </w:rPr>
      </w:pPr>
      <w:r w:rsidRPr="000A3B15">
        <w:rPr>
          <w:lang w:val="en-US"/>
        </w:rPr>
        <w:t>Loans</w:t>
      </w:r>
    </w:p>
    <w:p w14:paraId="59B1CD34" w14:textId="77777777" w:rsidR="00947B19" w:rsidRPr="000A3B15" w:rsidRDefault="00D230E9" w:rsidP="00947B19">
      <w:pPr>
        <w:ind w:left="1440"/>
        <w:rPr>
          <w:lang w:val="en-US"/>
        </w:rPr>
      </w:pPr>
      <w:r w:rsidRPr="000A3B15">
        <w:rPr>
          <w:lang w:val="en-US"/>
        </w:rPr>
        <w:t xml:space="preserve">BGEEF provides loans to municipalities with maximal tenor of 7 years, interest rates within the range of 4,5-8 % and minimal equity contribution of 10 to 25 % depending on co-financing source. The minimum equity contribution from the Project Developer for the proposed </w:t>
      </w:r>
      <w:r w:rsidR="00947B19" w:rsidRPr="000A3B15">
        <w:rPr>
          <w:lang w:val="en-US"/>
        </w:rPr>
        <w:t>project shall be, as follows:</w:t>
      </w:r>
    </w:p>
    <w:p w14:paraId="151A2839" w14:textId="77777777" w:rsidR="00947B19" w:rsidRPr="000A3B15" w:rsidRDefault="00D230E9" w:rsidP="00947B19">
      <w:pPr>
        <w:pStyle w:val="ListParagraph"/>
        <w:numPr>
          <w:ilvl w:val="2"/>
          <w:numId w:val="39"/>
        </w:numPr>
        <w:rPr>
          <w:lang w:val="en-US"/>
        </w:rPr>
      </w:pPr>
      <w:r w:rsidRPr="000A3B15">
        <w:rPr>
          <w:lang w:val="en-US"/>
        </w:rPr>
        <w:t>At least 10% for co-financing m</w:t>
      </w:r>
      <w:r w:rsidR="00947B19" w:rsidRPr="000A3B15">
        <w:rPr>
          <w:lang w:val="en-US"/>
        </w:rPr>
        <w:t>ode "BGEEF - commercial bank"</w:t>
      </w:r>
    </w:p>
    <w:p w14:paraId="2785CE80" w14:textId="77777777" w:rsidR="00D230E9" w:rsidRPr="000A3B15" w:rsidRDefault="00D230E9" w:rsidP="00947B19">
      <w:pPr>
        <w:pStyle w:val="ListParagraph"/>
        <w:numPr>
          <w:ilvl w:val="2"/>
          <w:numId w:val="39"/>
        </w:numPr>
        <w:rPr>
          <w:lang w:val="en-US"/>
        </w:rPr>
      </w:pPr>
      <w:r w:rsidRPr="000A3B15">
        <w:rPr>
          <w:lang w:val="en-US"/>
        </w:rPr>
        <w:t>At least 25% for EERSF (BGEEF) stand-alone financing.</w:t>
      </w:r>
    </w:p>
    <w:p w14:paraId="534FDC64" w14:textId="77777777" w:rsidR="00D230E9" w:rsidRPr="000A3B15" w:rsidRDefault="00D230E9" w:rsidP="00947B19">
      <w:pPr>
        <w:ind w:left="1440"/>
        <w:rPr>
          <w:lang w:val="en-US"/>
        </w:rPr>
      </w:pPr>
      <w:r w:rsidRPr="000A3B15">
        <w:rPr>
          <w:lang w:val="en-US"/>
        </w:rPr>
        <w:t>There are no additional credit conditions (taxes) and the repayment schedule is structured according to the need of the Project Developer. The conditions are the same for BEEF direct financing and for co-financing with a commercial bank.</w:t>
      </w:r>
    </w:p>
    <w:p w14:paraId="39C6C4A4" w14:textId="77777777" w:rsidR="00D230E9" w:rsidRPr="000A3B15" w:rsidRDefault="00D230E9" w:rsidP="00947B19">
      <w:pPr>
        <w:pStyle w:val="ListParagraph"/>
        <w:numPr>
          <w:ilvl w:val="1"/>
          <w:numId w:val="39"/>
        </w:numPr>
        <w:rPr>
          <w:lang w:val="en-US"/>
        </w:rPr>
      </w:pPr>
      <w:r w:rsidRPr="000A3B15">
        <w:rPr>
          <w:lang w:val="en-US"/>
        </w:rPr>
        <w:t>Partial Credit Guarantees (PCGs)</w:t>
      </w:r>
    </w:p>
    <w:p w14:paraId="19729907" w14:textId="77777777" w:rsidR="00947B19" w:rsidRPr="000A3B15" w:rsidRDefault="00D230E9" w:rsidP="00947B19">
      <w:pPr>
        <w:ind w:left="1440"/>
        <w:rPr>
          <w:lang w:val="en-US"/>
        </w:rPr>
      </w:pPr>
      <w:r w:rsidRPr="000A3B15">
        <w:rPr>
          <w:lang w:val="en-US"/>
        </w:rPr>
        <w:t>PCGs against an annual fee of 0,5-2 %, while individual project guarantee commitments shall not exceed 400 000 Euro with a maturity of maximum 7 years.</w:t>
      </w:r>
    </w:p>
    <w:p w14:paraId="5C656607" w14:textId="77777777" w:rsidR="00D230E9" w:rsidRPr="000A3B15" w:rsidRDefault="00D230E9" w:rsidP="00947B19">
      <w:pPr>
        <w:pStyle w:val="ListParagraph"/>
        <w:numPr>
          <w:ilvl w:val="1"/>
          <w:numId w:val="39"/>
        </w:numPr>
        <w:rPr>
          <w:lang w:val="en-US"/>
        </w:rPr>
      </w:pPr>
      <w:r w:rsidRPr="000A3B15">
        <w:rPr>
          <w:lang w:val="en-US"/>
        </w:rPr>
        <w:t>ESCO portfolio guarantees.</w:t>
      </w:r>
    </w:p>
    <w:p w14:paraId="3907F522" w14:textId="77777777" w:rsidR="00D230E9" w:rsidRPr="000A3B15" w:rsidRDefault="00D230E9" w:rsidP="00947B19">
      <w:pPr>
        <w:ind w:left="1440"/>
        <w:rPr>
          <w:lang w:val="en-US"/>
        </w:rPr>
      </w:pPr>
      <w:r w:rsidRPr="000A3B15">
        <w:rPr>
          <w:lang w:val="en-US"/>
        </w:rPr>
        <w:t>The fund can be used in combination with ESCO involvement as it provides ESCO portfolio guarantees In this scheme ESCOs would bid for a project and then go to a bank to secure finance for it, or have a line of financing ready and fill it in with projects. The shortcoming of this approach is that typical ESCOs rely heavily on raising debt to fund their performance contracts. This requires that the cash flow of their business is very accurately timed and budgeted. Delayed payments from clients, or defaulting clients may severely disrupt the servicing of the debts of the ESCO itself. With its ESCO portfolio guarantee, BGEEF undertake</w:t>
      </w:r>
      <w:r w:rsidR="00947B19" w:rsidRPr="000A3B15">
        <w:rPr>
          <w:lang w:val="en-US"/>
        </w:rPr>
        <w:t>s</w:t>
      </w:r>
      <w:r w:rsidRPr="000A3B15">
        <w:rPr>
          <w:lang w:val="en-US"/>
        </w:rPr>
        <w:t xml:space="preserve"> some of the risk of the ESCO and guarantee</w:t>
      </w:r>
      <w:r w:rsidR="00947B19" w:rsidRPr="000A3B15">
        <w:rPr>
          <w:lang w:val="en-US"/>
        </w:rPr>
        <w:t>s</w:t>
      </w:r>
      <w:r w:rsidRPr="000A3B15">
        <w:rPr>
          <w:lang w:val="en-US"/>
        </w:rPr>
        <w:t xml:space="preserve"> that it will cover such disruptions in the flow of receivables of the ESCO. BEEF has had several project cooperation</w:t>
      </w:r>
      <w:r w:rsidR="00947B19" w:rsidRPr="000A3B15">
        <w:rPr>
          <w:lang w:val="en-US"/>
        </w:rPr>
        <w:t>s</w:t>
      </w:r>
      <w:r w:rsidRPr="000A3B15">
        <w:rPr>
          <w:lang w:val="en-US"/>
        </w:rPr>
        <w:t xml:space="preserve"> under this scheme with the Bulgarian ESCO ENEMONA.</w:t>
      </w:r>
    </w:p>
    <w:p w14:paraId="0153E3FC" w14:textId="77777777" w:rsidR="00947B19" w:rsidRPr="000A3B15" w:rsidRDefault="00947B19" w:rsidP="00947B19">
      <w:pPr>
        <w:pStyle w:val="ListParagraph"/>
        <w:numPr>
          <w:ilvl w:val="0"/>
          <w:numId w:val="39"/>
        </w:numPr>
        <w:rPr>
          <w:lang w:val="en-US"/>
        </w:rPr>
      </w:pPr>
      <w:r w:rsidRPr="000A3B15">
        <w:rPr>
          <w:lang w:val="en-US"/>
        </w:rPr>
        <w:t>Public subsidies and revolving funds</w:t>
      </w:r>
    </w:p>
    <w:p w14:paraId="0A5DEABB" w14:textId="77777777" w:rsidR="00947B19" w:rsidRPr="000A3B15" w:rsidRDefault="00947B19" w:rsidP="00947B19">
      <w:pPr>
        <w:ind w:left="720"/>
        <w:rPr>
          <w:lang w:val="en-US"/>
        </w:rPr>
      </w:pPr>
      <w:r w:rsidRPr="000A3B15">
        <w:rPr>
          <w:lang w:val="en-US"/>
        </w:rPr>
        <w:t>Energy retrofitting is currently financed mainly throug</w:t>
      </w:r>
      <w:r w:rsidR="000A3B15">
        <w:rPr>
          <w:lang w:val="en-US"/>
        </w:rPr>
        <w:t>h national operational program</w:t>
      </w:r>
      <w:r w:rsidRPr="000A3B15">
        <w:rPr>
          <w:lang w:val="en-US"/>
        </w:rPr>
        <w:t>s that comprise of EU Funds plus national co-funding. The gener</w:t>
      </w:r>
      <w:r w:rsidR="000A3B15">
        <w:rPr>
          <w:lang w:val="en-US"/>
        </w:rPr>
        <w:t xml:space="preserve">al policy in the next program </w:t>
      </w:r>
      <w:r w:rsidRPr="000A3B15">
        <w:rPr>
          <w:lang w:val="en-US"/>
        </w:rPr>
        <w:t>period 2014-2020, though, is to shift the balance towards more schemes of revolving funds (i.e. loans) and less direct subsidies (stated</w:t>
      </w:r>
      <w:r w:rsidR="000A3B15">
        <w:rPr>
          <w:lang w:val="en-US"/>
        </w:rPr>
        <w:t xml:space="preserve"> on page 12 of the new program</w:t>
      </w:r>
      <w:r w:rsidRPr="000A3B15">
        <w:rPr>
          <w:lang w:val="en-US"/>
        </w:rPr>
        <w:t xml:space="preserve"> Regions in Growth) which reflects the general EU policy is to redirect the efforts of local authorities towards securing commercial funding for their sustainable energy actions.</w:t>
      </w:r>
    </w:p>
    <w:p w14:paraId="5002B38B" w14:textId="77777777" w:rsidR="00D230E9" w:rsidRPr="000A3B15" w:rsidRDefault="00D230E9" w:rsidP="00DD69DA">
      <w:pPr>
        <w:rPr>
          <w:lang w:val="en-US"/>
        </w:rPr>
      </w:pPr>
    </w:p>
    <w:p w14:paraId="12AEB5E6" w14:textId="77777777" w:rsidR="00D230E9" w:rsidRPr="000A3B15" w:rsidRDefault="00D230E9" w:rsidP="00DD69DA">
      <w:pPr>
        <w:rPr>
          <w:lang w:val="en-US"/>
        </w:rPr>
      </w:pPr>
    </w:p>
    <w:p w14:paraId="538504FB" w14:textId="77777777" w:rsidR="00EC6B3A" w:rsidRPr="000A3B15" w:rsidRDefault="00EC6B3A" w:rsidP="00EC6B3A">
      <w:pPr>
        <w:rPr>
          <w:lang w:val="en-US"/>
        </w:rPr>
      </w:pP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9E1A53" w:rsidRPr="000A3B15" w14:paraId="05086B48" w14:textId="77777777" w:rsidTr="001D0A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14:paraId="311CF584" w14:textId="77777777" w:rsidR="009E1A53" w:rsidRPr="000A3B15" w:rsidRDefault="009E1A53" w:rsidP="00B437D7">
            <w:pPr>
              <w:rPr>
                <w:rStyle w:val="Emphasis"/>
                <w:lang w:val="en-US"/>
              </w:rPr>
            </w:pPr>
            <w:r w:rsidRPr="000A3B15">
              <w:rPr>
                <w:rStyle w:val="Emphasis"/>
                <w:lang w:val="en-US"/>
              </w:rPr>
              <w:t xml:space="preserve">Program </w:t>
            </w:r>
            <w:r w:rsidR="00B437D7" w:rsidRPr="000A3B15">
              <w:rPr>
                <w:rStyle w:val="Emphasis"/>
                <w:lang w:val="en-US"/>
              </w:rPr>
              <w:t>delivery unit</w:t>
            </w:r>
            <w:r w:rsidRPr="000A3B15">
              <w:rPr>
                <w:rStyle w:val="Emphasis"/>
                <w:lang w:val="en-US"/>
              </w:rPr>
              <w:t xml:space="preserve"> funding</w:t>
            </w:r>
          </w:p>
        </w:tc>
        <w:tc>
          <w:tcPr>
            <w:tcW w:w="6804" w:type="dxa"/>
            <w:shd w:val="clear" w:color="auto" w:fill="auto"/>
          </w:tcPr>
          <w:p w14:paraId="3F0384BF" w14:textId="77777777" w:rsidR="009E1A53" w:rsidRPr="000A3B15" w:rsidRDefault="00E82AC0" w:rsidP="00E82AC0">
            <w:pPr>
              <w:cnfStyle w:val="100000000000" w:firstRow="1" w:lastRow="0" w:firstColumn="0" w:lastColumn="0" w:oddVBand="0" w:evenVBand="0" w:oddHBand="0" w:evenHBand="0" w:firstRowFirstColumn="0" w:firstRowLastColumn="0" w:lastRowFirstColumn="0" w:lastRowLastColumn="0"/>
              <w:rPr>
                <w:b w:val="0"/>
                <w:lang w:val="en-US"/>
              </w:rPr>
            </w:pPr>
            <w:r w:rsidRPr="000A3B15">
              <w:rPr>
                <w:b w:val="0"/>
                <w:lang w:val="en-US"/>
              </w:rPr>
              <w:t>Rhodoshop</w:t>
            </w:r>
            <w:r w:rsidR="00A7689B" w:rsidRPr="000A3B15">
              <w:rPr>
                <w:b w:val="0"/>
                <w:lang w:val="en-US"/>
              </w:rPr>
              <w:t xml:space="preserve"> </w:t>
            </w:r>
            <w:r w:rsidRPr="000A3B15">
              <w:rPr>
                <w:b w:val="0"/>
                <w:lang w:val="en-US"/>
              </w:rPr>
              <w:t>got</w:t>
            </w:r>
            <w:r w:rsidR="00A7689B" w:rsidRPr="000A3B15">
              <w:rPr>
                <w:b w:val="0"/>
                <w:lang w:val="en-US"/>
              </w:rPr>
              <w:t xml:space="preserve"> funding from</w:t>
            </w:r>
            <w:r w:rsidR="00D22378" w:rsidRPr="000A3B15">
              <w:rPr>
                <w:b w:val="0"/>
                <w:lang w:val="en-US"/>
              </w:rPr>
              <w:t xml:space="preserve"> </w:t>
            </w:r>
            <w:r w:rsidRPr="000A3B15">
              <w:rPr>
                <w:b w:val="0"/>
                <w:lang w:val="en-US"/>
              </w:rPr>
              <w:t>H2020 PDA</w:t>
            </w:r>
            <w:r w:rsidR="00D22378" w:rsidRPr="000A3B15">
              <w:rPr>
                <w:b w:val="0"/>
                <w:lang w:val="en-US"/>
              </w:rPr>
              <w:t xml:space="preserve"> (</w:t>
            </w:r>
            <w:r w:rsidR="001D0A5B" w:rsidRPr="000A3B15">
              <w:rPr>
                <w:b w:val="0"/>
                <w:lang w:val="en-US"/>
              </w:rPr>
              <w:t>4</w:t>
            </w:r>
            <w:r w:rsidRPr="000A3B15">
              <w:rPr>
                <w:b w:val="0"/>
                <w:lang w:val="en-US"/>
              </w:rPr>
              <w:t>70 k</w:t>
            </w:r>
            <w:r w:rsidR="00A7689B" w:rsidRPr="000A3B15">
              <w:rPr>
                <w:b w:val="0"/>
                <w:lang w:val="en-US"/>
              </w:rPr>
              <w:t>€</w:t>
            </w:r>
            <w:r w:rsidR="00C42933" w:rsidRPr="000A3B15">
              <w:rPr>
                <w:b w:val="0"/>
                <w:lang w:val="en-US"/>
              </w:rPr>
              <w:t xml:space="preserve">) </w:t>
            </w:r>
          </w:p>
        </w:tc>
      </w:tr>
      <w:tr w:rsidR="009E1A53" w:rsidRPr="000A3B15" w14:paraId="6DBA8875" w14:textId="77777777"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2F085F1B" w14:textId="77777777" w:rsidR="009E1A53" w:rsidRPr="000A3B15" w:rsidRDefault="009E1A53" w:rsidP="009E1A53">
            <w:pPr>
              <w:rPr>
                <w:rStyle w:val="Emphasis"/>
                <w:lang w:val="en-US"/>
              </w:rPr>
            </w:pPr>
            <w:r w:rsidRPr="000A3B15">
              <w:rPr>
                <w:rStyle w:val="Emphasis"/>
                <w:lang w:val="en-US"/>
              </w:rPr>
              <w:t>Projects Funding</w:t>
            </w:r>
          </w:p>
        </w:tc>
        <w:tc>
          <w:tcPr>
            <w:tcW w:w="6804" w:type="dxa"/>
            <w:tcBorders>
              <w:left w:val="none" w:sz="0" w:space="0" w:color="auto"/>
            </w:tcBorders>
            <w:shd w:val="clear" w:color="auto" w:fill="auto"/>
          </w:tcPr>
          <w:p w14:paraId="6F356041" w14:textId="77777777" w:rsidR="009E1A53" w:rsidRPr="000A3B15" w:rsidRDefault="00967801" w:rsidP="00A7689B">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Projects are</w:t>
            </w:r>
            <w:r w:rsidR="005A7F43" w:rsidRPr="000A3B15">
              <w:rPr>
                <w:lang w:val="en-US"/>
              </w:rPr>
              <w:t xml:space="preserve"> being</w:t>
            </w:r>
            <w:r w:rsidRPr="000A3B15">
              <w:rPr>
                <w:lang w:val="en-US"/>
              </w:rPr>
              <w:t xml:space="preserve"> </w:t>
            </w:r>
            <w:r w:rsidR="00A7689B" w:rsidRPr="000A3B15">
              <w:rPr>
                <w:lang w:val="en-US"/>
              </w:rPr>
              <w:t xml:space="preserve">funded through </w:t>
            </w:r>
            <w:r w:rsidR="00E82AC0" w:rsidRPr="000A3B15">
              <w:rPr>
                <w:lang w:val="en-US"/>
              </w:rPr>
              <w:t xml:space="preserve">third party financing, </w:t>
            </w:r>
            <w:r w:rsidR="00A7689B" w:rsidRPr="000A3B15">
              <w:rPr>
                <w:lang w:val="en-US"/>
              </w:rPr>
              <w:t>loans</w:t>
            </w:r>
            <w:r w:rsidR="00E82AC0" w:rsidRPr="000A3B15">
              <w:rPr>
                <w:lang w:val="en-US"/>
              </w:rPr>
              <w:t xml:space="preserve"> and grants</w:t>
            </w:r>
          </w:p>
        </w:tc>
      </w:tr>
      <w:tr w:rsidR="009E1A53" w:rsidRPr="000A3B15" w14:paraId="4AC90E19" w14:textId="77777777"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2811F19B" w14:textId="77777777" w:rsidR="009E1A53" w:rsidRPr="000A3B15" w:rsidRDefault="001003D6" w:rsidP="001003D6">
            <w:pPr>
              <w:rPr>
                <w:rStyle w:val="Emphasis"/>
                <w:lang w:val="en-US"/>
              </w:rPr>
            </w:pPr>
            <w:r w:rsidRPr="000A3B15">
              <w:rPr>
                <w:rStyle w:val="Emphasis"/>
                <w:lang w:val="en-US"/>
              </w:rPr>
              <w:t>Funding Vehicle</w:t>
            </w:r>
          </w:p>
        </w:tc>
        <w:tc>
          <w:tcPr>
            <w:tcW w:w="6804" w:type="dxa"/>
            <w:shd w:val="clear" w:color="auto" w:fill="auto"/>
          </w:tcPr>
          <w:p w14:paraId="536E9FF3" w14:textId="77777777" w:rsidR="009E1A53" w:rsidRPr="000A3B15" w:rsidRDefault="00A7689B" w:rsidP="008A668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Financial Institutions</w:t>
            </w:r>
          </w:p>
          <w:p w14:paraId="55FB028B" w14:textId="77777777" w:rsidR="00E82AC0" w:rsidRPr="000A3B15" w:rsidRDefault="00E82AC0" w:rsidP="008A668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ESCOs</w:t>
            </w:r>
          </w:p>
          <w:p w14:paraId="199D8376" w14:textId="77777777" w:rsidR="00E82AC0" w:rsidRPr="000A3B15" w:rsidRDefault="00E82AC0" w:rsidP="008A6687">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Energy Efficiency funds</w:t>
            </w:r>
          </w:p>
        </w:tc>
      </w:tr>
      <w:tr w:rsidR="007A6D9B" w:rsidRPr="000A3B15" w14:paraId="0401A27D" w14:textId="77777777"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1E2EB2D2" w14:textId="77777777" w:rsidR="007A6D9B" w:rsidRPr="000A3B15" w:rsidRDefault="007A6D9B" w:rsidP="009E1A53">
            <w:pPr>
              <w:rPr>
                <w:rStyle w:val="Emphasis"/>
                <w:lang w:val="en-US"/>
              </w:rPr>
            </w:pPr>
            <w:r w:rsidRPr="000A3B15">
              <w:rPr>
                <w:rStyle w:val="Emphasis"/>
                <w:lang w:val="en-US"/>
              </w:rPr>
              <w:t>Fund size</w:t>
            </w:r>
          </w:p>
        </w:tc>
        <w:tc>
          <w:tcPr>
            <w:tcW w:w="6804" w:type="dxa"/>
            <w:tcBorders>
              <w:left w:val="none" w:sz="0" w:space="0" w:color="auto"/>
            </w:tcBorders>
            <w:shd w:val="clear" w:color="auto" w:fill="auto"/>
          </w:tcPr>
          <w:p w14:paraId="008EDEAF" w14:textId="77777777" w:rsidR="007A6D9B" w:rsidRPr="000A3B15" w:rsidRDefault="007A6D9B" w:rsidP="009E1A53">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Not applicable</w:t>
            </w:r>
          </w:p>
        </w:tc>
      </w:tr>
      <w:tr w:rsidR="007A6D9B" w:rsidRPr="000A3B15" w14:paraId="1DEFDACE" w14:textId="77777777"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4DC350C1" w14:textId="77777777" w:rsidR="007A6D9B" w:rsidRPr="000A3B15" w:rsidRDefault="007A6D9B" w:rsidP="007A6D9B">
            <w:pPr>
              <w:rPr>
                <w:rStyle w:val="Emphasis"/>
                <w:lang w:val="en-US"/>
              </w:rPr>
            </w:pPr>
            <w:r w:rsidRPr="000A3B15">
              <w:rPr>
                <w:rStyle w:val="Emphasis"/>
                <w:lang w:val="en-US"/>
              </w:rPr>
              <w:t>Fund type</w:t>
            </w:r>
          </w:p>
        </w:tc>
        <w:tc>
          <w:tcPr>
            <w:tcW w:w="6804" w:type="dxa"/>
            <w:shd w:val="clear" w:color="auto" w:fill="auto"/>
          </w:tcPr>
          <w:p w14:paraId="58FDDC0E" w14:textId="77777777" w:rsidR="007A6D9B" w:rsidRPr="000A3B15" w:rsidRDefault="007A6D9B" w:rsidP="009E1A53">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Not applicable</w:t>
            </w:r>
          </w:p>
        </w:tc>
      </w:tr>
      <w:tr w:rsidR="007A6D9B" w:rsidRPr="000A3B15" w14:paraId="75F78313" w14:textId="77777777"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15A9E2E3" w14:textId="77777777" w:rsidR="007A6D9B" w:rsidRPr="000A3B15" w:rsidRDefault="007A6D9B" w:rsidP="009E1A53">
            <w:pPr>
              <w:rPr>
                <w:rStyle w:val="Emphasis"/>
                <w:lang w:val="en-US"/>
              </w:rPr>
            </w:pPr>
            <w:r w:rsidRPr="000A3B15">
              <w:rPr>
                <w:rStyle w:val="Emphasis"/>
                <w:lang w:val="en-US"/>
              </w:rPr>
              <w:t>Fund sources</w:t>
            </w:r>
          </w:p>
        </w:tc>
        <w:tc>
          <w:tcPr>
            <w:tcW w:w="6804" w:type="dxa"/>
            <w:tcBorders>
              <w:left w:val="none" w:sz="0" w:space="0" w:color="auto"/>
            </w:tcBorders>
            <w:shd w:val="clear" w:color="auto" w:fill="auto"/>
          </w:tcPr>
          <w:p w14:paraId="3171CDF8" w14:textId="77777777" w:rsidR="007A6D9B" w:rsidRPr="000A3B15" w:rsidRDefault="00B33FB3" w:rsidP="009E1A53">
            <w:pPr>
              <w:cnfStyle w:val="000000100000" w:firstRow="0" w:lastRow="0" w:firstColumn="0" w:lastColumn="0" w:oddVBand="0" w:evenVBand="0" w:oddHBand="1" w:evenHBand="0" w:firstRowFirstColumn="0" w:firstRowLastColumn="0" w:lastRowFirstColumn="0" w:lastRowLastColumn="0"/>
              <w:rPr>
                <w:lang w:val="en-US"/>
              </w:rPr>
            </w:pPr>
            <w:r w:rsidRPr="000A3B15">
              <w:rPr>
                <w:lang w:val="en-US"/>
              </w:rPr>
              <w:t>Unknown</w:t>
            </w:r>
          </w:p>
        </w:tc>
      </w:tr>
      <w:tr w:rsidR="009E1A53" w:rsidRPr="000A3B15" w14:paraId="1D6D9099" w14:textId="77777777"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336C63E4" w14:textId="77777777" w:rsidR="009E1A53" w:rsidRPr="000A3B15" w:rsidRDefault="001003D6" w:rsidP="009E1A53">
            <w:pPr>
              <w:rPr>
                <w:rStyle w:val="Emphasis"/>
                <w:lang w:val="en-US"/>
              </w:rPr>
            </w:pPr>
            <w:r w:rsidRPr="000A3B15">
              <w:rPr>
                <w:rStyle w:val="Emphasis"/>
                <w:lang w:val="en-US"/>
              </w:rPr>
              <w:t>Financial Instruments</w:t>
            </w:r>
          </w:p>
        </w:tc>
        <w:tc>
          <w:tcPr>
            <w:tcW w:w="6804" w:type="dxa"/>
            <w:shd w:val="clear" w:color="auto" w:fill="auto"/>
          </w:tcPr>
          <w:p w14:paraId="6041028F" w14:textId="77777777" w:rsidR="00A7689B" w:rsidRPr="000A3B15" w:rsidRDefault="00A7689B" w:rsidP="009E1A53">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Own funds</w:t>
            </w:r>
          </w:p>
          <w:p w14:paraId="390C14E5" w14:textId="77777777" w:rsidR="009E1A53" w:rsidRPr="000A3B15" w:rsidRDefault="009E1A53" w:rsidP="009E1A53">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Loans</w:t>
            </w:r>
          </w:p>
          <w:p w14:paraId="1F8A7314" w14:textId="77777777" w:rsidR="004F6B84" w:rsidRPr="000A3B15" w:rsidRDefault="009E1A53" w:rsidP="009E1A53">
            <w:pPr>
              <w:cnfStyle w:val="000000000000" w:firstRow="0" w:lastRow="0" w:firstColumn="0" w:lastColumn="0" w:oddVBand="0" w:evenVBand="0" w:oddHBand="0" w:evenHBand="0" w:firstRowFirstColumn="0" w:firstRowLastColumn="0" w:lastRowFirstColumn="0" w:lastRowLastColumn="0"/>
              <w:rPr>
                <w:lang w:val="en-US"/>
              </w:rPr>
            </w:pPr>
            <w:r w:rsidRPr="000A3B15">
              <w:rPr>
                <w:lang w:val="en-US"/>
              </w:rPr>
              <w:t>Grants</w:t>
            </w:r>
          </w:p>
        </w:tc>
      </w:tr>
    </w:tbl>
    <w:p w14:paraId="0F50F841" w14:textId="77777777" w:rsidR="009E1A53" w:rsidRPr="000A3B15" w:rsidRDefault="009E1A53" w:rsidP="00FB641D">
      <w:pPr>
        <w:rPr>
          <w:highlight w:val="yellow"/>
          <w:lang w:val="en-US"/>
        </w:rPr>
      </w:pPr>
    </w:p>
    <w:p w14:paraId="305091B5" w14:textId="77777777" w:rsidR="00942290" w:rsidRPr="000A3B15" w:rsidRDefault="00CF1ECF" w:rsidP="00942290">
      <w:pPr>
        <w:pStyle w:val="Heading1"/>
        <w:rPr>
          <w:lang w:val="en-US"/>
        </w:rPr>
      </w:pPr>
      <w:r w:rsidRPr="000A3B15">
        <w:rPr>
          <w:lang w:val="en-US"/>
        </w:rPr>
        <w:t>Achievements</w:t>
      </w:r>
      <w:r w:rsidR="004F0616" w:rsidRPr="000A3B15">
        <w:rPr>
          <w:lang w:val="en-US"/>
        </w:rPr>
        <w:t xml:space="preserve"> (Targets)</w:t>
      </w:r>
    </w:p>
    <w:p w14:paraId="1DF29A28" w14:textId="77777777" w:rsidR="00DB7AFB" w:rsidRPr="000A3B15" w:rsidRDefault="00DB7AFB">
      <w:pPr>
        <w:rPr>
          <w:lang w:val="en-US"/>
        </w:rPr>
      </w:pPr>
    </w:p>
    <w:p w14:paraId="7F10BC5B" w14:textId="77777777" w:rsidR="00257316" w:rsidRPr="000A3B15" w:rsidRDefault="00257316" w:rsidP="00257316">
      <w:pPr>
        <w:rPr>
          <w:lang w:val="en-US"/>
        </w:rPr>
      </w:pPr>
      <w:r w:rsidRPr="000A3B15">
        <w:rPr>
          <w:lang w:val="en-US"/>
        </w:rPr>
        <w:t>The initial program targets 11,5 Million € of investment in 42 buildings, for a total surface of 85.429 m</w:t>
      </w:r>
      <w:r w:rsidRPr="000A3B15">
        <w:rPr>
          <w:vertAlign w:val="superscript"/>
          <w:lang w:val="en-US"/>
        </w:rPr>
        <w:t>2</w:t>
      </w:r>
      <w:r w:rsidR="006859AD">
        <w:rPr>
          <w:vertAlign w:val="superscript"/>
          <w:lang w:val="en-US"/>
        </w:rPr>
        <w:t xml:space="preserve"> </w:t>
      </w:r>
      <w:r w:rsidR="006859AD">
        <w:rPr>
          <w:lang w:val="en-US"/>
        </w:rPr>
        <w:t>and 1,7 MEuro in street lighting networks.</w:t>
      </w:r>
      <w:r w:rsidRPr="000A3B15">
        <w:rPr>
          <w:lang w:val="en-US"/>
        </w:rPr>
        <w:t xml:space="preserve">It aims to achieve </w:t>
      </w:r>
      <w:r w:rsidR="003F33E8">
        <w:rPr>
          <w:lang w:val="en-US"/>
        </w:rPr>
        <w:t xml:space="preserve"> </w:t>
      </w:r>
      <w:r w:rsidR="00335EDC">
        <w:rPr>
          <w:lang w:val="en-US"/>
        </w:rPr>
        <w:t xml:space="preserve">8 </w:t>
      </w:r>
      <w:r w:rsidR="006859AD">
        <w:rPr>
          <w:lang w:val="en-US"/>
        </w:rPr>
        <w:t>8</w:t>
      </w:r>
      <w:r w:rsidR="00335EDC">
        <w:rPr>
          <w:lang w:val="en-US"/>
        </w:rPr>
        <w:t>00</w:t>
      </w:r>
      <w:r w:rsidRPr="000A3B15">
        <w:rPr>
          <w:lang w:val="en-US"/>
        </w:rPr>
        <w:t xml:space="preserve"> MWh/year of energy savingsand 544 MWh/year of renewable energy production. </w:t>
      </w:r>
    </w:p>
    <w:p w14:paraId="4016E85E" w14:textId="77777777" w:rsidR="004F0616" w:rsidRPr="000A3B15" w:rsidRDefault="00257316">
      <w:pPr>
        <w:rPr>
          <w:lang w:val="en-US"/>
        </w:rPr>
      </w:pPr>
      <w:r w:rsidRPr="000A3B15">
        <w:rPr>
          <w:lang w:val="en-US"/>
        </w:rPr>
        <w:t>In addition, the program foresees 1,7 Million € of investment in street lighting systems, aiming at 1.356 MWh/year energy savings and 14,8 tons of CO</w:t>
      </w:r>
      <w:r w:rsidRPr="000A3B15">
        <w:rPr>
          <w:vertAlign w:val="subscript"/>
          <w:lang w:val="en-US"/>
        </w:rPr>
        <w:t>2</w:t>
      </w:r>
      <w:r w:rsidRPr="000A3B15">
        <w:rPr>
          <w:lang w:val="en-US"/>
        </w:rPr>
        <w:t xml:space="preserve"> savings.</w:t>
      </w:r>
      <w:r w:rsidR="00E21E3A" w:rsidRPr="000A3B15">
        <w:rPr>
          <w:lang w:val="en-US"/>
        </w:rPr>
        <w:t xml:space="preserve"> Average payback is 14,8 years.</w:t>
      </w:r>
    </w:p>
    <w:p w14:paraId="49DD3AFC" w14:textId="77777777" w:rsidR="00E444CF" w:rsidRPr="000A3B15" w:rsidRDefault="00E444CF" w:rsidP="00702D1C">
      <w:pPr>
        <w:pStyle w:val="Heading1"/>
        <w:rPr>
          <w:lang w:val="en-US"/>
        </w:rPr>
      </w:pPr>
      <w:r w:rsidRPr="000A3B15">
        <w:rPr>
          <w:lang w:val="en-US"/>
        </w:rPr>
        <w:t>Contact details</w:t>
      </w:r>
    </w:p>
    <w:p w14:paraId="472CB169" w14:textId="77777777" w:rsidR="00DB7AFB" w:rsidRPr="000A3B15" w:rsidRDefault="00DB7AFB" w:rsidP="00DB7AFB">
      <w:pPr>
        <w:spacing w:after="0"/>
        <w:rPr>
          <w:b/>
          <w:lang w:val="en-US" w:eastAsia="fr-FR"/>
        </w:rPr>
      </w:pPr>
    </w:p>
    <w:p w14:paraId="189ED726" w14:textId="77777777" w:rsidR="00B15B00" w:rsidRPr="000A3B15" w:rsidRDefault="00E82AC0" w:rsidP="00DB7AFB">
      <w:pPr>
        <w:spacing w:after="0"/>
        <w:rPr>
          <w:b/>
          <w:lang w:val="en-US" w:eastAsia="fr-FR"/>
        </w:rPr>
      </w:pPr>
      <w:r w:rsidRPr="000A3B15">
        <w:rPr>
          <w:b/>
          <w:lang w:val="en-US" w:eastAsia="fr-FR"/>
        </w:rPr>
        <w:t>Ivanka Pandelieva</w:t>
      </w:r>
    </w:p>
    <w:p w14:paraId="20B083A8" w14:textId="77777777" w:rsidR="00B15B00" w:rsidRPr="000A3B15" w:rsidRDefault="00E82AC0" w:rsidP="00DB7AFB">
      <w:pPr>
        <w:spacing w:after="0"/>
        <w:rPr>
          <w:b/>
          <w:lang w:val="en-US" w:eastAsia="fr-FR"/>
        </w:rPr>
      </w:pPr>
      <w:r w:rsidRPr="000A3B15">
        <w:rPr>
          <w:b/>
          <w:lang w:val="en-US" w:eastAsia="fr-FR"/>
        </w:rPr>
        <w:t>Sophia Energy Center</w:t>
      </w:r>
    </w:p>
    <w:p w14:paraId="2EB77603" w14:textId="77777777" w:rsidR="00B91802" w:rsidRPr="000A3B15" w:rsidRDefault="00B91802" w:rsidP="00B91802">
      <w:pPr>
        <w:spacing w:after="0"/>
        <w:rPr>
          <w:lang w:val="en-US" w:eastAsia="fr-FR"/>
        </w:rPr>
      </w:pPr>
      <w:r w:rsidRPr="000A3B15">
        <w:rPr>
          <w:lang w:val="en-US" w:eastAsia="fr-FR"/>
        </w:rPr>
        <w:t>GALITCHITSA 37 ENTR 2 2ND FLOOR</w:t>
      </w:r>
    </w:p>
    <w:p w14:paraId="4F370A7C" w14:textId="77777777" w:rsidR="00B91802" w:rsidRPr="000A3B15" w:rsidRDefault="00B91802" w:rsidP="00B91802">
      <w:pPr>
        <w:spacing w:after="0"/>
        <w:rPr>
          <w:lang w:val="en-US" w:eastAsia="fr-FR"/>
        </w:rPr>
      </w:pPr>
      <w:r w:rsidRPr="000A3B15">
        <w:rPr>
          <w:lang w:val="en-US" w:eastAsia="fr-FR"/>
        </w:rPr>
        <w:t>1164 SOFIA</w:t>
      </w:r>
    </w:p>
    <w:p w14:paraId="0D9A1622" w14:textId="77777777" w:rsidR="00B91802" w:rsidRPr="000A3B15" w:rsidRDefault="00B91802" w:rsidP="00B91802">
      <w:pPr>
        <w:spacing w:after="0"/>
        <w:rPr>
          <w:lang w:val="en-US" w:eastAsia="fr-FR"/>
        </w:rPr>
      </w:pPr>
      <w:r w:rsidRPr="000A3B15">
        <w:rPr>
          <w:lang w:val="en-US" w:eastAsia="fr-FR"/>
        </w:rPr>
        <w:t>Bulgaria</w:t>
      </w:r>
    </w:p>
    <w:p w14:paraId="6B4FDD15" w14:textId="77777777" w:rsidR="00B91802" w:rsidRPr="000A3B15" w:rsidRDefault="00B91802" w:rsidP="00B91802">
      <w:pPr>
        <w:spacing w:after="0"/>
        <w:rPr>
          <w:b/>
          <w:lang w:val="en-US" w:eastAsia="fr-FR"/>
        </w:rPr>
      </w:pPr>
    </w:p>
    <w:p w14:paraId="71E15A73" w14:textId="77777777" w:rsidR="00DB7AFB" w:rsidRPr="000A3B15" w:rsidRDefault="00DB7AFB" w:rsidP="00B91802">
      <w:pPr>
        <w:spacing w:after="0"/>
        <w:rPr>
          <w:b/>
          <w:lang w:val="en-US" w:eastAsia="fr-FR"/>
        </w:rPr>
      </w:pPr>
      <w:r w:rsidRPr="000A3B15">
        <w:rPr>
          <w:b/>
          <w:lang w:val="en-US" w:eastAsia="fr-FR"/>
        </w:rPr>
        <w:t xml:space="preserve">E-mail: </w:t>
      </w:r>
      <w:r w:rsidR="00B91802" w:rsidRPr="000A3B15">
        <w:rPr>
          <w:b/>
          <w:lang w:val="en-US" w:eastAsia="fr-FR"/>
        </w:rPr>
        <w:t>ivankap@sec.bg</w:t>
      </w:r>
    </w:p>
    <w:p w14:paraId="6D57D64D" w14:textId="77777777" w:rsidR="00B15B00" w:rsidRPr="001C04DD" w:rsidRDefault="002171DD" w:rsidP="00B15B00">
      <w:pPr>
        <w:spacing w:after="0"/>
        <w:rPr>
          <w:b/>
          <w:highlight w:val="yellow"/>
          <w:lang w:val="en-US" w:eastAsia="fr-FR"/>
        </w:rPr>
      </w:pPr>
      <w:r w:rsidRPr="00340EAB">
        <w:rPr>
          <w:b/>
          <w:lang w:val="en-US" w:eastAsia="fr-FR"/>
        </w:rPr>
        <w:t>M +: 359</w:t>
      </w:r>
      <w:r w:rsidR="00340EAB">
        <w:rPr>
          <w:b/>
          <w:lang w:val="en-US" w:eastAsia="fr-FR"/>
        </w:rPr>
        <w:t xml:space="preserve"> </w:t>
      </w:r>
      <w:r w:rsidRPr="00340EAB">
        <w:rPr>
          <w:b/>
          <w:lang w:val="en-US" w:eastAsia="fr-FR"/>
        </w:rPr>
        <w:t>887317835</w:t>
      </w:r>
    </w:p>
    <w:p w14:paraId="5DC530CC" w14:textId="77777777" w:rsidR="00B15B00" w:rsidRPr="001C04DD" w:rsidRDefault="002171DD" w:rsidP="00B15B00">
      <w:pPr>
        <w:spacing w:after="0"/>
        <w:rPr>
          <w:b/>
          <w:highlight w:val="yellow"/>
          <w:lang w:val="en-US" w:eastAsia="fr-FR"/>
        </w:rPr>
      </w:pPr>
      <w:r w:rsidRPr="00340EAB">
        <w:rPr>
          <w:b/>
          <w:lang w:val="en-US" w:eastAsia="fr-FR"/>
        </w:rPr>
        <w:t>T + 359 2 9628447</w:t>
      </w:r>
    </w:p>
    <w:p w14:paraId="70EDE071" w14:textId="77777777" w:rsidR="00702D1C" w:rsidRPr="000A3B15" w:rsidRDefault="002171DD" w:rsidP="00B15B00">
      <w:pPr>
        <w:spacing w:after="0"/>
        <w:rPr>
          <w:b/>
          <w:lang w:val="en-US" w:eastAsia="fr-FR"/>
        </w:rPr>
      </w:pPr>
      <w:r w:rsidRPr="00340EAB">
        <w:rPr>
          <w:b/>
          <w:lang w:val="en-US" w:eastAsia="fr-FR"/>
        </w:rPr>
        <w:t>F +</w:t>
      </w:r>
      <w:r w:rsidR="001C04DD" w:rsidRPr="001C04DD">
        <w:rPr>
          <w:b/>
          <w:lang w:val="en-US" w:eastAsia="fr-FR"/>
        </w:rPr>
        <w:t xml:space="preserve"> </w:t>
      </w:r>
      <w:r>
        <w:rPr>
          <w:b/>
          <w:lang w:val="en-US" w:eastAsia="fr-FR"/>
        </w:rPr>
        <w:t>359 2 962 8447</w:t>
      </w:r>
      <w:r w:rsidR="00702D1C" w:rsidRPr="000A3B15">
        <w:rPr>
          <w:b/>
          <w:lang w:val="en-US" w:eastAsia="fr-FR"/>
        </w:rPr>
        <w:br w:type="page"/>
      </w:r>
    </w:p>
    <w:p w14:paraId="70C84330" w14:textId="77777777" w:rsidR="002F4CBA" w:rsidRPr="000A3B15" w:rsidRDefault="002F4CBA" w:rsidP="009255EE">
      <w:pPr>
        <w:pStyle w:val="Heading1"/>
        <w:rPr>
          <w:lang w:val="en-US"/>
        </w:rPr>
      </w:pPr>
      <w:r w:rsidRPr="000A3B15">
        <w:rPr>
          <w:lang w:val="en-US"/>
        </w:rPr>
        <w:t>Factsheet</w:t>
      </w:r>
    </w:p>
    <w:p w14:paraId="4DC67742" w14:textId="77777777" w:rsidR="002F4CBA" w:rsidRPr="000A3B15" w:rsidRDefault="002F4CBA" w:rsidP="00E8569E">
      <w:pPr>
        <w:rPr>
          <w:lang w:val="en-US"/>
        </w:rPr>
      </w:pPr>
    </w:p>
    <w:p w14:paraId="51D9EB54" w14:textId="77777777" w:rsidR="002F4CBA" w:rsidRPr="000A3B15" w:rsidRDefault="002F4CBA" w:rsidP="007736E3">
      <w:pPr>
        <w:pStyle w:val="NoSpacing"/>
        <w:rPr>
          <w:b/>
          <w:lang w:val="en-US"/>
        </w:rPr>
      </w:pPr>
      <w:r w:rsidRPr="000A3B15">
        <w:rPr>
          <w:b/>
          <w:lang w:val="en-US"/>
        </w:rPr>
        <w:t>General Info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736E3" w:rsidRPr="000A3B15" w14:paraId="486CFB2F" w14:textId="77777777" w:rsidTr="009255EE">
        <w:tc>
          <w:tcPr>
            <w:tcW w:w="3402" w:type="dxa"/>
          </w:tcPr>
          <w:p w14:paraId="3025D2E1" w14:textId="77777777" w:rsidR="007736E3" w:rsidRPr="000A3B15" w:rsidRDefault="007736E3" w:rsidP="007736E3">
            <w:pPr>
              <w:pStyle w:val="NoSpacing"/>
              <w:rPr>
                <w:lang w:val="en-US"/>
              </w:rPr>
            </w:pPr>
            <w:r w:rsidRPr="000A3B15">
              <w:rPr>
                <w:lang w:val="en-US"/>
              </w:rPr>
              <w:t>Country</w:t>
            </w:r>
          </w:p>
        </w:tc>
        <w:tc>
          <w:tcPr>
            <w:tcW w:w="6146" w:type="dxa"/>
          </w:tcPr>
          <w:p w14:paraId="3617C1A7" w14:textId="77777777" w:rsidR="007736E3" w:rsidRPr="000A3B15" w:rsidRDefault="00875E49" w:rsidP="007736E3">
            <w:pPr>
              <w:pStyle w:val="NoSpacing"/>
              <w:rPr>
                <w:lang w:val="en-US"/>
              </w:rPr>
            </w:pPr>
            <w:r w:rsidRPr="000A3B15">
              <w:rPr>
                <w:lang w:val="en-US"/>
              </w:rPr>
              <w:t>Bulgaria</w:t>
            </w:r>
          </w:p>
        </w:tc>
      </w:tr>
      <w:tr w:rsidR="007736E3" w:rsidRPr="000A3B15" w14:paraId="0A4408DB" w14:textId="77777777" w:rsidTr="009255EE">
        <w:tc>
          <w:tcPr>
            <w:tcW w:w="3402" w:type="dxa"/>
          </w:tcPr>
          <w:p w14:paraId="17ED19E9" w14:textId="77777777" w:rsidR="007736E3" w:rsidRPr="000A3B15" w:rsidRDefault="007736E3" w:rsidP="007736E3">
            <w:pPr>
              <w:pStyle w:val="NoSpacing"/>
              <w:rPr>
                <w:lang w:val="en-US"/>
              </w:rPr>
            </w:pPr>
            <w:r w:rsidRPr="000A3B15">
              <w:rPr>
                <w:lang w:val="en-US"/>
              </w:rPr>
              <w:t>Model Name</w:t>
            </w:r>
          </w:p>
        </w:tc>
        <w:tc>
          <w:tcPr>
            <w:tcW w:w="6146" w:type="dxa"/>
          </w:tcPr>
          <w:p w14:paraId="7E07BF55" w14:textId="77777777" w:rsidR="007736E3" w:rsidRPr="000A3B15" w:rsidRDefault="00875E49" w:rsidP="007736E3">
            <w:pPr>
              <w:pStyle w:val="NoSpacing"/>
              <w:rPr>
                <w:lang w:val="en-US"/>
              </w:rPr>
            </w:pPr>
            <w:r w:rsidRPr="000A3B15">
              <w:rPr>
                <w:lang w:val="en-US"/>
              </w:rPr>
              <w:t>Rhodoshop</w:t>
            </w:r>
          </w:p>
        </w:tc>
      </w:tr>
      <w:tr w:rsidR="007736E3" w:rsidRPr="000A3B15" w14:paraId="1FBE8F0C" w14:textId="77777777" w:rsidTr="009255EE">
        <w:tc>
          <w:tcPr>
            <w:tcW w:w="3402" w:type="dxa"/>
          </w:tcPr>
          <w:p w14:paraId="6F147F77" w14:textId="77777777" w:rsidR="007736E3" w:rsidRPr="000A3B15" w:rsidRDefault="007736E3" w:rsidP="007736E3">
            <w:pPr>
              <w:pStyle w:val="NoSpacing"/>
              <w:rPr>
                <w:lang w:val="en-US"/>
              </w:rPr>
            </w:pPr>
            <w:r w:rsidRPr="000A3B15">
              <w:rPr>
                <w:lang w:val="en-US"/>
              </w:rPr>
              <w:t>Date of creation</w:t>
            </w:r>
          </w:p>
        </w:tc>
        <w:tc>
          <w:tcPr>
            <w:tcW w:w="6146" w:type="dxa"/>
          </w:tcPr>
          <w:p w14:paraId="006AE422" w14:textId="77777777" w:rsidR="007736E3" w:rsidRPr="000A3B15" w:rsidRDefault="008E233A" w:rsidP="007736E3">
            <w:pPr>
              <w:pStyle w:val="NoSpacing"/>
              <w:rPr>
                <w:lang w:val="en-US"/>
              </w:rPr>
            </w:pPr>
            <w:r w:rsidRPr="000A3B15">
              <w:rPr>
                <w:lang w:val="en-US"/>
              </w:rPr>
              <w:t>Ongoing</w:t>
            </w:r>
          </w:p>
        </w:tc>
      </w:tr>
    </w:tbl>
    <w:p w14:paraId="6C8276A8" w14:textId="77777777" w:rsidR="007736E3" w:rsidRPr="000A3B15" w:rsidRDefault="007736E3" w:rsidP="007736E3">
      <w:pPr>
        <w:pStyle w:val="NoSpacing"/>
        <w:rPr>
          <w:b/>
          <w:lang w:val="en-US"/>
        </w:rPr>
      </w:pPr>
    </w:p>
    <w:p w14:paraId="640EF251" w14:textId="77777777" w:rsidR="007D2174" w:rsidRPr="000A3B15" w:rsidRDefault="007D2174" w:rsidP="007736E3">
      <w:pPr>
        <w:pStyle w:val="NoSpacing"/>
        <w:rPr>
          <w:b/>
          <w:lang w:val="en-US"/>
        </w:rPr>
      </w:pPr>
      <w:r w:rsidRPr="000A3B15">
        <w:rPr>
          <w:b/>
          <w:lang w:val="en-US"/>
        </w:rPr>
        <w:t>Model Description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736E3" w:rsidRPr="000A3B15" w14:paraId="3A7EC730" w14:textId="77777777" w:rsidTr="009255EE">
        <w:tc>
          <w:tcPr>
            <w:tcW w:w="3402" w:type="dxa"/>
          </w:tcPr>
          <w:p w14:paraId="2C730995" w14:textId="77777777" w:rsidR="007736E3" w:rsidRPr="000A3B15" w:rsidRDefault="00276AE7" w:rsidP="007736E3">
            <w:pPr>
              <w:pStyle w:val="NoSpacing"/>
              <w:rPr>
                <w:lang w:val="en-US"/>
              </w:rPr>
            </w:pPr>
            <w:r w:rsidRPr="000A3B15">
              <w:rPr>
                <w:lang w:val="en-US"/>
              </w:rPr>
              <w:t>Own</w:t>
            </w:r>
            <w:r w:rsidR="007736E3" w:rsidRPr="000A3B15">
              <w:rPr>
                <w:lang w:val="en-US"/>
              </w:rPr>
              <w:t>ership</w:t>
            </w:r>
          </w:p>
        </w:tc>
        <w:tc>
          <w:tcPr>
            <w:tcW w:w="6146" w:type="dxa"/>
          </w:tcPr>
          <w:p w14:paraId="54437225" w14:textId="77777777" w:rsidR="007736E3" w:rsidRPr="000A3B15" w:rsidRDefault="00F45FD8" w:rsidP="005E795C">
            <w:pPr>
              <w:pStyle w:val="NoSpacing"/>
              <w:rPr>
                <w:lang w:val="en-US"/>
              </w:rPr>
            </w:pPr>
            <w:r w:rsidRPr="000A3B15">
              <w:rPr>
                <w:lang w:val="en-US"/>
              </w:rPr>
              <w:t>Public</w:t>
            </w:r>
          </w:p>
        </w:tc>
      </w:tr>
      <w:tr w:rsidR="007736E3" w:rsidRPr="000A3B15" w14:paraId="60BDB21B" w14:textId="77777777" w:rsidTr="009255EE">
        <w:tc>
          <w:tcPr>
            <w:tcW w:w="3402" w:type="dxa"/>
          </w:tcPr>
          <w:p w14:paraId="2CAC5CCC" w14:textId="77777777" w:rsidR="007736E3" w:rsidRPr="000A3B15" w:rsidRDefault="00B437D7" w:rsidP="007736E3">
            <w:pPr>
              <w:pStyle w:val="NoSpacing"/>
              <w:rPr>
                <w:lang w:val="en-US"/>
              </w:rPr>
            </w:pPr>
            <w:r w:rsidRPr="000A3B15">
              <w:rPr>
                <w:lang w:val="en-US"/>
              </w:rPr>
              <w:t>Program authority</w:t>
            </w:r>
          </w:p>
        </w:tc>
        <w:tc>
          <w:tcPr>
            <w:tcW w:w="6146" w:type="dxa"/>
          </w:tcPr>
          <w:p w14:paraId="6B70C836" w14:textId="77777777" w:rsidR="007736E3" w:rsidRPr="000A3B15" w:rsidRDefault="00875E49" w:rsidP="007736E3">
            <w:pPr>
              <w:pStyle w:val="NoSpacing"/>
              <w:rPr>
                <w:lang w:val="en-US"/>
              </w:rPr>
            </w:pPr>
            <w:r w:rsidRPr="000A3B15">
              <w:rPr>
                <w:lang w:val="en-US"/>
              </w:rPr>
              <w:t>Association of Rhodope Municipalities (ARM)</w:t>
            </w:r>
          </w:p>
        </w:tc>
      </w:tr>
      <w:tr w:rsidR="007736E3" w:rsidRPr="000A3B15" w14:paraId="0E46B599" w14:textId="77777777" w:rsidTr="009255EE">
        <w:tc>
          <w:tcPr>
            <w:tcW w:w="3402" w:type="dxa"/>
          </w:tcPr>
          <w:p w14:paraId="6866A4A0" w14:textId="77777777" w:rsidR="007736E3" w:rsidRPr="000A3B15" w:rsidRDefault="007736E3" w:rsidP="00B437D7">
            <w:pPr>
              <w:pStyle w:val="NoSpacing"/>
              <w:rPr>
                <w:lang w:val="en-US"/>
              </w:rPr>
            </w:pPr>
            <w:r w:rsidRPr="000A3B15">
              <w:rPr>
                <w:lang w:val="en-US"/>
              </w:rPr>
              <w:t xml:space="preserve">Program </w:t>
            </w:r>
            <w:r w:rsidR="00406ECE" w:rsidRPr="000A3B15">
              <w:rPr>
                <w:lang w:val="en-US"/>
              </w:rPr>
              <w:t xml:space="preserve">delivery </w:t>
            </w:r>
            <w:r w:rsidR="00B437D7" w:rsidRPr="000A3B15">
              <w:rPr>
                <w:lang w:val="en-US"/>
              </w:rPr>
              <w:t>unit</w:t>
            </w:r>
          </w:p>
        </w:tc>
        <w:tc>
          <w:tcPr>
            <w:tcW w:w="6146" w:type="dxa"/>
          </w:tcPr>
          <w:p w14:paraId="44C680C4" w14:textId="77777777" w:rsidR="007736E3" w:rsidRPr="000A3B15" w:rsidRDefault="00875E49" w:rsidP="007736E3">
            <w:pPr>
              <w:pStyle w:val="NoSpacing"/>
              <w:rPr>
                <w:lang w:val="en-US"/>
              </w:rPr>
            </w:pPr>
            <w:r w:rsidRPr="000A3B15">
              <w:rPr>
                <w:lang w:val="en-US"/>
              </w:rPr>
              <w:t>Rhodoshop</w:t>
            </w:r>
          </w:p>
        </w:tc>
      </w:tr>
      <w:tr w:rsidR="007736E3" w:rsidRPr="000A3B15" w14:paraId="2486ADD9" w14:textId="77777777" w:rsidTr="009255EE">
        <w:tc>
          <w:tcPr>
            <w:tcW w:w="3402" w:type="dxa"/>
          </w:tcPr>
          <w:p w14:paraId="49B1729E" w14:textId="77777777" w:rsidR="007736E3" w:rsidRPr="000A3B15" w:rsidRDefault="007736E3" w:rsidP="007736E3">
            <w:pPr>
              <w:pStyle w:val="NoSpacing"/>
              <w:rPr>
                <w:lang w:val="en-US"/>
              </w:rPr>
            </w:pPr>
            <w:r w:rsidRPr="000A3B15">
              <w:rPr>
                <w:lang w:val="en-US"/>
              </w:rPr>
              <w:t>Operating services</w:t>
            </w:r>
          </w:p>
        </w:tc>
        <w:tc>
          <w:tcPr>
            <w:tcW w:w="6146" w:type="dxa"/>
          </w:tcPr>
          <w:p w14:paraId="3786EE8A" w14:textId="77777777" w:rsidR="000A3B15" w:rsidRPr="000A3B15" w:rsidRDefault="000A3B15" w:rsidP="000A3B15">
            <w:pPr>
              <w:rPr>
                <w:lang w:val="en-US"/>
              </w:rPr>
            </w:pPr>
            <w:r w:rsidRPr="000A3B15">
              <w:rPr>
                <w:lang w:val="en-US"/>
              </w:rPr>
              <w:t>Marketer</w:t>
            </w:r>
          </w:p>
          <w:p w14:paraId="4E7A077D" w14:textId="77777777" w:rsidR="000A3B15" w:rsidRPr="000A3B15" w:rsidRDefault="000A3B15" w:rsidP="000A3B15">
            <w:pPr>
              <w:rPr>
                <w:lang w:val="en-US"/>
              </w:rPr>
            </w:pPr>
            <w:r w:rsidRPr="000A3B15">
              <w:rPr>
                <w:lang w:val="en-US"/>
              </w:rPr>
              <w:t>Aggregator</w:t>
            </w:r>
          </w:p>
          <w:p w14:paraId="3A7E1AB5" w14:textId="77777777" w:rsidR="000A3B15" w:rsidRPr="000A3B15" w:rsidRDefault="000A3B15" w:rsidP="000A3B15">
            <w:pPr>
              <w:rPr>
                <w:lang w:val="en-US"/>
              </w:rPr>
            </w:pPr>
            <w:r w:rsidRPr="000A3B15">
              <w:rPr>
                <w:lang w:val="en-US"/>
              </w:rPr>
              <w:t>Facilitator</w:t>
            </w:r>
          </w:p>
          <w:p w14:paraId="12D3527F" w14:textId="77777777" w:rsidR="000A3B15" w:rsidRPr="000A3B15" w:rsidRDefault="000A3B15" w:rsidP="000A3B15">
            <w:pPr>
              <w:rPr>
                <w:lang w:val="en-US"/>
              </w:rPr>
            </w:pPr>
            <w:r w:rsidRPr="000A3B15">
              <w:rPr>
                <w:lang w:val="en-US"/>
              </w:rPr>
              <w:t>Financial advisor</w:t>
            </w:r>
          </w:p>
          <w:p w14:paraId="50108337" w14:textId="77777777" w:rsidR="000A0786" w:rsidRPr="000A3B15" w:rsidRDefault="000A3B15" w:rsidP="000A3B15">
            <w:pPr>
              <w:pStyle w:val="NoSpacing"/>
              <w:rPr>
                <w:lang w:val="en-US"/>
              </w:rPr>
            </w:pPr>
            <w:r w:rsidRPr="000A3B15">
              <w:rPr>
                <w:lang w:val="en-US"/>
              </w:rPr>
              <w:t>Assessor</w:t>
            </w:r>
          </w:p>
        </w:tc>
      </w:tr>
      <w:tr w:rsidR="007736E3" w:rsidRPr="000A3B15" w14:paraId="3FB49659" w14:textId="77777777" w:rsidTr="009255EE">
        <w:tc>
          <w:tcPr>
            <w:tcW w:w="3402" w:type="dxa"/>
          </w:tcPr>
          <w:p w14:paraId="5DC821A4" w14:textId="77777777" w:rsidR="007736E3" w:rsidRPr="000A3B15" w:rsidRDefault="007736E3" w:rsidP="007736E3">
            <w:pPr>
              <w:pStyle w:val="NoSpacing"/>
              <w:rPr>
                <w:lang w:val="en-US"/>
              </w:rPr>
            </w:pPr>
            <w:r w:rsidRPr="000A3B15">
              <w:rPr>
                <w:lang w:val="en-US"/>
              </w:rPr>
              <w:t>Implementation model</w:t>
            </w:r>
          </w:p>
        </w:tc>
        <w:tc>
          <w:tcPr>
            <w:tcW w:w="6146" w:type="dxa"/>
          </w:tcPr>
          <w:p w14:paraId="61BF792D" w14:textId="77777777" w:rsidR="007736E3" w:rsidRPr="000A3B15" w:rsidRDefault="007736E3" w:rsidP="007736E3">
            <w:pPr>
              <w:pStyle w:val="NoSpacing"/>
              <w:rPr>
                <w:lang w:val="en-US"/>
              </w:rPr>
            </w:pPr>
            <w:r w:rsidRPr="000A3B15">
              <w:rPr>
                <w:lang w:val="en-US"/>
              </w:rPr>
              <w:t>Energy Performance Contracting (EPC)</w:t>
            </w:r>
          </w:p>
          <w:p w14:paraId="0998A312" w14:textId="77777777" w:rsidR="00875E49" w:rsidRPr="000A3B15" w:rsidRDefault="00875E49" w:rsidP="007736E3">
            <w:pPr>
              <w:pStyle w:val="NoSpacing"/>
              <w:rPr>
                <w:lang w:val="en-US"/>
              </w:rPr>
            </w:pPr>
            <w:r w:rsidRPr="000A3B15">
              <w:rPr>
                <w:lang w:val="en-US"/>
              </w:rPr>
              <w:t>Separate Based Contracting (SBC)</w:t>
            </w:r>
          </w:p>
        </w:tc>
      </w:tr>
      <w:tr w:rsidR="007736E3" w:rsidRPr="000A3B15" w14:paraId="0C0AFF0A" w14:textId="77777777" w:rsidTr="009255EE">
        <w:tc>
          <w:tcPr>
            <w:tcW w:w="3402" w:type="dxa"/>
          </w:tcPr>
          <w:p w14:paraId="0DF89FA3" w14:textId="77777777" w:rsidR="007736E3" w:rsidRPr="000A3B15" w:rsidRDefault="007736E3" w:rsidP="007736E3">
            <w:pPr>
              <w:pStyle w:val="NoSpacing"/>
              <w:rPr>
                <w:lang w:val="en-US"/>
              </w:rPr>
            </w:pPr>
            <w:r w:rsidRPr="000A3B15">
              <w:rPr>
                <w:lang w:val="en-US"/>
              </w:rPr>
              <w:t>Types of projects financed</w:t>
            </w:r>
          </w:p>
        </w:tc>
        <w:tc>
          <w:tcPr>
            <w:tcW w:w="6146" w:type="dxa"/>
          </w:tcPr>
          <w:p w14:paraId="1610F8C0" w14:textId="77777777" w:rsidR="007736E3" w:rsidRPr="000A3B15" w:rsidRDefault="007736E3" w:rsidP="007736E3">
            <w:pPr>
              <w:pStyle w:val="NoSpacing"/>
              <w:rPr>
                <w:lang w:val="en-US"/>
              </w:rPr>
            </w:pPr>
            <w:r w:rsidRPr="000A3B15">
              <w:rPr>
                <w:lang w:val="en-US"/>
              </w:rPr>
              <w:t>Energy Efficiency (Buildings retrofit)</w:t>
            </w:r>
          </w:p>
          <w:p w14:paraId="24238AA2" w14:textId="77777777" w:rsidR="000A3B15" w:rsidRPr="000A3B15" w:rsidRDefault="000A3B15" w:rsidP="007736E3">
            <w:pPr>
              <w:pStyle w:val="NoSpacing"/>
              <w:rPr>
                <w:lang w:val="en-US"/>
              </w:rPr>
            </w:pPr>
            <w:r w:rsidRPr="000A3B15">
              <w:rPr>
                <w:lang w:val="en-US"/>
              </w:rPr>
              <w:t>Renewable Energy projects</w:t>
            </w:r>
          </w:p>
          <w:p w14:paraId="028A3B20" w14:textId="77777777" w:rsidR="00875E49" w:rsidRPr="000A3B15" w:rsidRDefault="00875E49" w:rsidP="007736E3">
            <w:pPr>
              <w:pStyle w:val="NoSpacing"/>
              <w:rPr>
                <w:lang w:val="en-US"/>
              </w:rPr>
            </w:pPr>
            <w:r w:rsidRPr="000A3B15">
              <w:rPr>
                <w:lang w:val="en-US"/>
              </w:rPr>
              <w:t>Streetlighting projects</w:t>
            </w:r>
          </w:p>
        </w:tc>
      </w:tr>
      <w:tr w:rsidR="007736E3" w:rsidRPr="000A3B15" w14:paraId="00A71C43" w14:textId="77777777" w:rsidTr="009255EE">
        <w:tc>
          <w:tcPr>
            <w:tcW w:w="3402" w:type="dxa"/>
          </w:tcPr>
          <w:p w14:paraId="1CE6CFE5" w14:textId="77777777" w:rsidR="007736E3" w:rsidRPr="000A3B15" w:rsidRDefault="007736E3" w:rsidP="007736E3">
            <w:pPr>
              <w:pStyle w:val="NoSpacing"/>
              <w:rPr>
                <w:lang w:val="en-US"/>
              </w:rPr>
            </w:pPr>
            <w:r w:rsidRPr="000A3B15">
              <w:rPr>
                <w:lang w:val="en-US"/>
              </w:rPr>
              <w:t>Beneficiaries</w:t>
            </w:r>
          </w:p>
        </w:tc>
        <w:tc>
          <w:tcPr>
            <w:tcW w:w="6146" w:type="dxa"/>
          </w:tcPr>
          <w:p w14:paraId="5DC24392" w14:textId="77777777" w:rsidR="007736E3" w:rsidRPr="000A3B15" w:rsidRDefault="008E233A" w:rsidP="00875E49">
            <w:pPr>
              <w:rPr>
                <w:lang w:val="en-US"/>
              </w:rPr>
            </w:pPr>
            <w:r w:rsidRPr="000A3B15">
              <w:rPr>
                <w:lang w:val="en-US"/>
              </w:rPr>
              <w:t xml:space="preserve">Municipalities in the </w:t>
            </w:r>
            <w:r w:rsidR="00875E49" w:rsidRPr="000A3B15">
              <w:rPr>
                <w:lang w:val="en-US"/>
              </w:rPr>
              <w:t>Rhodope region</w:t>
            </w:r>
          </w:p>
        </w:tc>
      </w:tr>
      <w:tr w:rsidR="007736E3" w:rsidRPr="000A3B15" w14:paraId="798197A1" w14:textId="77777777" w:rsidTr="009255EE">
        <w:tc>
          <w:tcPr>
            <w:tcW w:w="3402" w:type="dxa"/>
          </w:tcPr>
          <w:p w14:paraId="25F3D477" w14:textId="77777777" w:rsidR="007736E3" w:rsidRPr="000A3B15" w:rsidRDefault="007736E3" w:rsidP="007736E3">
            <w:pPr>
              <w:pStyle w:val="NoSpacing"/>
              <w:rPr>
                <w:lang w:val="en-US"/>
              </w:rPr>
            </w:pPr>
            <w:r w:rsidRPr="000A3B15">
              <w:rPr>
                <w:lang w:val="en-US"/>
              </w:rPr>
              <w:t>Geographical coverage</w:t>
            </w:r>
          </w:p>
        </w:tc>
        <w:tc>
          <w:tcPr>
            <w:tcW w:w="6146" w:type="dxa"/>
          </w:tcPr>
          <w:p w14:paraId="162A8D76" w14:textId="77777777" w:rsidR="008E233A" w:rsidRPr="000A3B15" w:rsidRDefault="00747F48" w:rsidP="007736E3">
            <w:pPr>
              <w:pStyle w:val="NoSpacing"/>
              <w:rPr>
                <w:lang w:val="en-US"/>
              </w:rPr>
            </w:pPr>
            <w:r w:rsidRPr="000A3B15">
              <w:rPr>
                <w:lang w:val="en-US"/>
              </w:rPr>
              <w:t>Regional</w:t>
            </w:r>
          </w:p>
        </w:tc>
      </w:tr>
    </w:tbl>
    <w:p w14:paraId="7BA3070A" w14:textId="77777777" w:rsidR="007736E3" w:rsidRPr="000A3B15" w:rsidRDefault="007736E3" w:rsidP="007736E3">
      <w:pPr>
        <w:pStyle w:val="NoSpacing"/>
        <w:rPr>
          <w:lang w:val="en-US"/>
        </w:rPr>
      </w:pPr>
    </w:p>
    <w:p w14:paraId="3852037E" w14:textId="77777777" w:rsidR="007D2174" w:rsidRPr="000A3B15" w:rsidRDefault="007D2174" w:rsidP="007736E3">
      <w:pPr>
        <w:pStyle w:val="NoSpacing"/>
        <w:rPr>
          <w:b/>
          <w:lang w:val="en-US"/>
        </w:rPr>
      </w:pPr>
      <w:r w:rsidRPr="000A3B15">
        <w:rPr>
          <w:b/>
          <w:lang w:val="en-US"/>
        </w:rPr>
        <w:t>Financial Mode</w:t>
      </w:r>
      <w:r w:rsidR="005E795C" w:rsidRPr="000A3B15">
        <w:rPr>
          <w:b/>
          <w:lang w:val="en-US"/>
        </w:rPr>
        <w:t>l</w:t>
      </w:r>
      <w:r w:rsidRPr="000A3B15">
        <w:rPr>
          <w:b/>
          <w:lang w:val="en-US"/>
        </w:rPr>
        <w:t xml:space="preserve"> Description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47F48" w:rsidRPr="000A3B15" w14:paraId="29B057CD" w14:textId="77777777" w:rsidTr="009255EE">
        <w:tc>
          <w:tcPr>
            <w:tcW w:w="3402" w:type="dxa"/>
          </w:tcPr>
          <w:p w14:paraId="3D5CD22A" w14:textId="77777777" w:rsidR="00747F48" w:rsidRPr="000A3B15" w:rsidRDefault="00747F48" w:rsidP="007736E3">
            <w:pPr>
              <w:pStyle w:val="NoSpacing"/>
              <w:rPr>
                <w:lang w:val="en-US"/>
              </w:rPr>
            </w:pPr>
            <w:r w:rsidRPr="000A3B15">
              <w:rPr>
                <w:lang w:val="en-US"/>
              </w:rPr>
              <w:t>Project funding</w:t>
            </w:r>
          </w:p>
        </w:tc>
        <w:tc>
          <w:tcPr>
            <w:tcW w:w="6146" w:type="dxa"/>
          </w:tcPr>
          <w:p w14:paraId="2CF7637C" w14:textId="77777777" w:rsidR="00747F48" w:rsidRPr="000A3B15" w:rsidRDefault="001F4EB5" w:rsidP="007736E3">
            <w:pPr>
              <w:pStyle w:val="NoSpacing"/>
              <w:rPr>
                <w:lang w:val="en-US"/>
              </w:rPr>
            </w:pPr>
            <w:r w:rsidRPr="000A3B15">
              <w:rPr>
                <w:lang w:val="en-US"/>
              </w:rPr>
              <w:t>Public</w:t>
            </w:r>
            <w:r w:rsidR="009417EC" w:rsidRPr="000A3B15">
              <w:rPr>
                <w:lang w:val="en-US"/>
              </w:rPr>
              <w:t>/Private</w:t>
            </w:r>
          </w:p>
        </w:tc>
      </w:tr>
      <w:tr w:rsidR="007736E3" w:rsidRPr="000A3B15" w14:paraId="03D39E95" w14:textId="77777777" w:rsidTr="009255EE">
        <w:tc>
          <w:tcPr>
            <w:tcW w:w="3402" w:type="dxa"/>
          </w:tcPr>
          <w:p w14:paraId="6D251F73" w14:textId="77777777" w:rsidR="007736E3" w:rsidRPr="000A3B15" w:rsidRDefault="007736E3" w:rsidP="007736E3">
            <w:pPr>
              <w:pStyle w:val="NoSpacing"/>
              <w:rPr>
                <w:lang w:val="en-US"/>
              </w:rPr>
            </w:pPr>
            <w:r w:rsidRPr="000A3B15">
              <w:rPr>
                <w:lang w:val="en-US"/>
              </w:rPr>
              <w:t>Project funding vehicle</w:t>
            </w:r>
            <w:r w:rsidRPr="000A3B15">
              <w:rPr>
                <w:lang w:val="en-US"/>
              </w:rPr>
              <w:tab/>
            </w:r>
          </w:p>
        </w:tc>
        <w:tc>
          <w:tcPr>
            <w:tcW w:w="6146" w:type="dxa"/>
          </w:tcPr>
          <w:p w14:paraId="44345FA9" w14:textId="77777777" w:rsidR="007736E3" w:rsidRPr="000A3B15" w:rsidRDefault="004F6B84" w:rsidP="007736E3">
            <w:pPr>
              <w:pStyle w:val="NoSpacing"/>
              <w:rPr>
                <w:lang w:val="en-US"/>
              </w:rPr>
            </w:pPr>
            <w:r w:rsidRPr="000A3B15">
              <w:rPr>
                <w:lang w:val="en-US"/>
              </w:rPr>
              <w:t>Property</w:t>
            </w:r>
            <w:r w:rsidR="00E45571" w:rsidRPr="000A3B15">
              <w:rPr>
                <w:lang w:val="en-US"/>
              </w:rPr>
              <w:t xml:space="preserve"> owners</w:t>
            </w:r>
          </w:p>
          <w:p w14:paraId="2846AAFE" w14:textId="77777777" w:rsidR="00747F48" w:rsidRPr="000A3B15" w:rsidRDefault="008E233A" w:rsidP="007736E3">
            <w:pPr>
              <w:pStyle w:val="NoSpacing"/>
              <w:rPr>
                <w:lang w:val="en-US"/>
              </w:rPr>
            </w:pPr>
            <w:r w:rsidRPr="000A3B15">
              <w:rPr>
                <w:lang w:val="en-US"/>
              </w:rPr>
              <w:t>Financial institutions</w:t>
            </w:r>
          </w:p>
          <w:p w14:paraId="3A1A8886" w14:textId="77777777" w:rsidR="009417EC" w:rsidRPr="000A3B15" w:rsidRDefault="009417EC" w:rsidP="007736E3">
            <w:pPr>
              <w:pStyle w:val="NoSpacing"/>
              <w:rPr>
                <w:lang w:val="en-US"/>
              </w:rPr>
            </w:pPr>
            <w:r w:rsidRPr="000A3B15">
              <w:rPr>
                <w:lang w:val="en-US"/>
              </w:rPr>
              <w:t>Energy Efficiency funds</w:t>
            </w:r>
          </w:p>
          <w:p w14:paraId="26F443A3" w14:textId="77777777" w:rsidR="009417EC" w:rsidRPr="000A3B15" w:rsidRDefault="009417EC" w:rsidP="007736E3">
            <w:pPr>
              <w:pStyle w:val="NoSpacing"/>
              <w:rPr>
                <w:lang w:val="en-US"/>
              </w:rPr>
            </w:pPr>
            <w:r w:rsidRPr="000A3B15">
              <w:rPr>
                <w:lang w:val="en-US"/>
              </w:rPr>
              <w:t>ESCOs</w:t>
            </w:r>
          </w:p>
        </w:tc>
      </w:tr>
      <w:tr w:rsidR="007736E3" w:rsidRPr="000A3B15" w14:paraId="46A76450" w14:textId="77777777" w:rsidTr="009255EE">
        <w:tc>
          <w:tcPr>
            <w:tcW w:w="3402" w:type="dxa"/>
          </w:tcPr>
          <w:p w14:paraId="68776FDA" w14:textId="77777777" w:rsidR="007736E3" w:rsidRPr="000A3B15" w:rsidRDefault="00747F48" w:rsidP="007736E3">
            <w:pPr>
              <w:pStyle w:val="NoSpacing"/>
              <w:rPr>
                <w:lang w:val="en-US"/>
              </w:rPr>
            </w:pPr>
            <w:r w:rsidRPr="000A3B15">
              <w:rPr>
                <w:lang w:val="en-US"/>
              </w:rPr>
              <w:t>Financial instruments</w:t>
            </w:r>
          </w:p>
        </w:tc>
        <w:tc>
          <w:tcPr>
            <w:tcW w:w="6146" w:type="dxa"/>
          </w:tcPr>
          <w:p w14:paraId="490AE11A" w14:textId="77777777" w:rsidR="00406ECE" w:rsidRPr="000A3B15" w:rsidRDefault="00406ECE" w:rsidP="007736E3">
            <w:pPr>
              <w:pStyle w:val="NoSpacing"/>
              <w:rPr>
                <w:lang w:val="en-US"/>
              </w:rPr>
            </w:pPr>
            <w:r w:rsidRPr="000A3B15">
              <w:rPr>
                <w:lang w:val="en-US"/>
              </w:rPr>
              <w:t>Loans</w:t>
            </w:r>
          </w:p>
          <w:p w14:paraId="416A734B" w14:textId="77777777" w:rsidR="00406ECE" w:rsidRPr="000A3B15" w:rsidRDefault="00406ECE" w:rsidP="007736E3">
            <w:pPr>
              <w:pStyle w:val="NoSpacing"/>
              <w:rPr>
                <w:lang w:val="en-US"/>
              </w:rPr>
            </w:pPr>
            <w:r w:rsidRPr="000A3B15">
              <w:rPr>
                <w:lang w:val="en-US"/>
              </w:rPr>
              <w:t>Grants</w:t>
            </w:r>
          </w:p>
          <w:p w14:paraId="2BD5DDB6" w14:textId="77777777" w:rsidR="004F6B84" w:rsidRPr="000A3B15" w:rsidRDefault="004F6B84" w:rsidP="007736E3">
            <w:pPr>
              <w:pStyle w:val="NoSpacing"/>
              <w:rPr>
                <w:lang w:val="en-US"/>
              </w:rPr>
            </w:pPr>
            <w:r w:rsidRPr="000A3B15">
              <w:rPr>
                <w:lang w:val="en-US"/>
              </w:rPr>
              <w:t>Own funds</w:t>
            </w:r>
          </w:p>
        </w:tc>
      </w:tr>
      <w:tr w:rsidR="00747F48" w:rsidRPr="000A3B15" w14:paraId="32E543D1" w14:textId="77777777" w:rsidTr="009255EE">
        <w:tc>
          <w:tcPr>
            <w:tcW w:w="3402" w:type="dxa"/>
          </w:tcPr>
          <w:p w14:paraId="1EC018B2" w14:textId="77777777" w:rsidR="00747F48" w:rsidRPr="000A3B15" w:rsidRDefault="00747F48" w:rsidP="007736E3">
            <w:pPr>
              <w:pStyle w:val="NoSpacing"/>
              <w:rPr>
                <w:lang w:val="en-US"/>
              </w:rPr>
            </w:pPr>
            <w:r w:rsidRPr="000A3B15">
              <w:rPr>
                <w:lang w:val="en-US"/>
              </w:rPr>
              <w:t>Repayment model</w:t>
            </w:r>
          </w:p>
        </w:tc>
        <w:tc>
          <w:tcPr>
            <w:tcW w:w="6146" w:type="dxa"/>
          </w:tcPr>
          <w:p w14:paraId="4A803104" w14:textId="77777777" w:rsidR="001F4EB5" w:rsidRPr="000A3B15" w:rsidRDefault="00406ECE" w:rsidP="007736E3">
            <w:pPr>
              <w:pStyle w:val="NoSpacing"/>
              <w:rPr>
                <w:lang w:val="en-US"/>
              </w:rPr>
            </w:pPr>
            <w:r w:rsidRPr="000A3B15">
              <w:rPr>
                <w:lang w:val="en-US"/>
              </w:rPr>
              <w:t>Guaranteed savings agreement</w:t>
            </w:r>
            <w:r w:rsidR="009417EC" w:rsidRPr="000A3B15">
              <w:rPr>
                <w:lang w:val="en-US"/>
              </w:rPr>
              <w:t xml:space="preserve"> (for EPC)</w:t>
            </w:r>
          </w:p>
        </w:tc>
      </w:tr>
    </w:tbl>
    <w:p w14:paraId="206768D8" w14:textId="77777777" w:rsidR="007736E3" w:rsidRPr="000A3B15" w:rsidRDefault="007736E3" w:rsidP="007736E3">
      <w:pPr>
        <w:pStyle w:val="NoSpacing"/>
        <w:rPr>
          <w:lang w:val="en-US"/>
        </w:rPr>
      </w:pPr>
    </w:p>
    <w:p w14:paraId="3A2DD79F" w14:textId="77777777" w:rsidR="007D2174" w:rsidRPr="000A3B15" w:rsidRDefault="00A77E24" w:rsidP="007736E3">
      <w:pPr>
        <w:pStyle w:val="NoSpacing"/>
        <w:rPr>
          <w:b/>
          <w:lang w:val="en-US"/>
        </w:rPr>
      </w:pPr>
      <w:r w:rsidRPr="000A3B15">
        <w:rPr>
          <w:b/>
          <w:lang w:val="en-US"/>
        </w:rPr>
        <w:t>Project risk Profile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06ECE" w:rsidRPr="000A3B15" w14:paraId="5F8FD70A" w14:textId="77777777" w:rsidTr="009255EE">
        <w:tc>
          <w:tcPr>
            <w:tcW w:w="3402" w:type="dxa"/>
          </w:tcPr>
          <w:p w14:paraId="0BB5CE99" w14:textId="77777777" w:rsidR="00406ECE" w:rsidRPr="000A3B15" w:rsidRDefault="00702D1C" w:rsidP="00406ECE">
            <w:pPr>
              <w:pStyle w:val="NoSpacing"/>
              <w:rPr>
                <w:lang w:val="en-US"/>
              </w:rPr>
            </w:pPr>
            <w:r w:rsidRPr="000A3B15">
              <w:rPr>
                <w:lang w:val="en-US"/>
              </w:rPr>
              <w:t>Performance risk</w:t>
            </w:r>
          </w:p>
        </w:tc>
        <w:tc>
          <w:tcPr>
            <w:tcW w:w="6146" w:type="dxa"/>
          </w:tcPr>
          <w:p w14:paraId="58C38345" w14:textId="77777777" w:rsidR="00406ECE" w:rsidRPr="000A3B15" w:rsidRDefault="00406ECE" w:rsidP="00406ECE">
            <w:pPr>
              <w:pStyle w:val="NoSpacing"/>
              <w:rPr>
                <w:lang w:val="en-US"/>
              </w:rPr>
            </w:pPr>
            <w:r w:rsidRPr="000A3B15">
              <w:rPr>
                <w:lang w:val="en-US"/>
              </w:rPr>
              <w:t>ESCOs</w:t>
            </w:r>
            <w:r w:rsidR="009417EC" w:rsidRPr="000A3B15">
              <w:rPr>
                <w:lang w:val="en-US"/>
              </w:rPr>
              <w:t xml:space="preserve"> (for EPC)</w:t>
            </w:r>
          </w:p>
        </w:tc>
      </w:tr>
      <w:tr w:rsidR="00406ECE" w:rsidRPr="000A3B15" w14:paraId="4698AC17" w14:textId="77777777" w:rsidTr="009255EE">
        <w:tc>
          <w:tcPr>
            <w:tcW w:w="3402" w:type="dxa"/>
          </w:tcPr>
          <w:p w14:paraId="2C3986D5" w14:textId="77777777" w:rsidR="00406ECE" w:rsidRPr="000A3B15" w:rsidRDefault="00406ECE" w:rsidP="00406ECE">
            <w:pPr>
              <w:pStyle w:val="NoSpacing"/>
              <w:rPr>
                <w:lang w:val="en-US"/>
              </w:rPr>
            </w:pPr>
            <w:r w:rsidRPr="000A3B15">
              <w:rPr>
                <w:lang w:val="en-US"/>
              </w:rPr>
              <w:t>Recourse</w:t>
            </w:r>
          </w:p>
        </w:tc>
        <w:tc>
          <w:tcPr>
            <w:tcW w:w="6146" w:type="dxa"/>
          </w:tcPr>
          <w:p w14:paraId="35F657F2" w14:textId="77777777" w:rsidR="00406ECE" w:rsidRPr="000A3B15" w:rsidRDefault="00E45571" w:rsidP="00406ECE">
            <w:pPr>
              <w:pStyle w:val="NoSpacing"/>
              <w:rPr>
                <w:lang w:val="en-US"/>
              </w:rPr>
            </w:pPr>
            <w:r w:rsidRPr="000A3B15">
              <w:rPr>
                <w:lang w:val="en-US"/>
              </w:rPr>
              <w:t>n/a</w:t>
            </w:r>
          </w:p>
        </w:tc>
      </w:tr>
      <w:tr w:rsidR="00406ECE" w:rsidRPr="000A3B15" w14:paraId="65CA9DE7" w14:textId="77777777" w:rsidTr="009255EE">
        <w:tc>
          <w:tcPr>
            <w:tcW w:w="3402" w:type="dxa"/>
          </w:tcPr>
          <w:p w14:paraId="6A0ECBA4" w14:textId="77777777" w:rsidR="00406ECE" w:rsidRPr="000A3B15" w:rsidRDefault="00406ECE" w:rsidP="00406ECE">
            <w:pPr>
              <w:pStyle w:val="NoSpacing"/>
              <w:rPr>
                <w:lang w:val="en-US"/>
              </w:rPr>
            </w:pPr>
            <w:r w:rsidRPr="000A3B15">
              <w:rPr>
                <w:lang w:val="en-US"/>
              </w:rPr>
              <w:t>Financial risk</w:t>
            </w:r>
          </w:p>
        </w:tc>
        <w:tc>
          <w:tcPr>
            <w:tcW w:w="6146" w:type="dxa"/>
          </w:tcPr>
          <w:p w14:paraId="54A731E3" w14:textId="77777777" w:rsidR="00406ECE" w:rsidRPr="000A3B15" w:rsidRDefault="00E45571" w:rsidP="00406ECE">
            <w:pPr>
              <w:pStyle w:val="NoSpacing"/>
              <w:rPr>
                <w:lang w:val="en-US"/>
              </w:rPr>
            </w:pPr>
            <w:r w:rsidRPr="000A3B15">
              <w:rPr>
                <w:lang w:val="en-US"/>
              </w:rPr>
              <w:t>Building owners</w:t>
            </w:r>
          </w:p>
          <w:p w14:paraId="2D31AD1B" w14:textId="77777777" w:rsidR="00437D4A" w:rsidRPr="000A3B15" w:rsidRDefault="00437D4A" w:rsidP="00406ECE">
            <w:pPr>
              <w:pStyle w:val="NoSpacing"/>
              <w:rPr>
                <w:lang w:val="en-US"/>
              </w:rPr>
            </w:pPr>
            <w:r w:rsidRPr="000A3B15">
              <w:rPr>
                <w:lang w:val="en-US"/>
              </w:rPr>
              <w:t>Financial institutions</w:t>
            </w:r>
          </w:p>
        </w:tc>
      </w:tr>
    </w:tbl>
    <w:p w14:paraId="2918907E" w14:textId="77777777" w:rsidR="007736E3" w:rsidRPr="000A3B15" w:rsidRDefault="007736E3" w:rsidP="007736E3">
      <w:pPr>
        <w:pStyle w:val="NoSpacing"/>
        <w:rPr>
          <w:lang w:val="en-US"/>
        </w:rPr>
      </w:pPr>
    </w:p>
    <w:p w14:paraId="2E6C08FE" w14:textId="77777777" w:rsidR="00A77E24" w:rsidRPr="000A3B15" w:rsidRDefault="00A77E24" w:rsidP="007736E3">
      <w:pPr>
        <w:pStyle w:val="NoSpacing"/>
        <w:rPr>
          <w:b/>
          <w:lang w:val="en-US"/>
        </w:rPr>
      </w:pPr>
      <w:r w:rsidRPr="000A3B15">
        <w:rPr>
          <w:b/>
          <w:lang w:val="en-US"/>
        </w:rPr>
        <w:t>Model Requirements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06ECE" w:rsidRPr="000A3B15" w14:paraId="11588E77" w14:textId="77777777" w:rsidTr="009255EE">
        <w:tc>
          <w:tcPr>
            <w:tcW w:w="3402" w:type="dxa"/>
          </w:tcPr>
          <w:p w14:paraId="01A1BC3D" w14:textId="77777777" w:rsidR="00406ECE" w:rsidRPr="000A3B15" w:rsidRDefault="00406ECE" w:rsidP="00406ECE">
            <w:pPr>
              <w:pStyle w:val="NoSpacing"/>
              <w:rPr>
                <w:lang w:val="en-US"/>
              </w:rPr>
            </w:pPr>
            <w:r w:rsidRPr="000A3B15">
              <w:rPr>
                <w:lang w:val="en-US"/>
              </w:rPr>
              <w:t>Staff Requirements</w:t>
            </w:r>
          </w:p>
        </w:tc>
        <w:tc>
          <w:tcPr>
            <w:tcW w:w="6146" w:type="dxa"/>
          </w:tcPr>
          <w:p w14:paraId="34BF19F9" w14:textId="77777777" w:rsidR="00406ECE" w:rsidRPr="000A3B15" w:rsidRDefault="009417EC" w:rsidP="00406ECE">
            <w:pPr>
              <w:pStyle w:val="NoSpacing"/>
              <w:rPr>
                <w:lang w:val="en-US"/>
              </w:rPr>
            </w:pPr>
            <w:r w:rsidRPr="000A3B15">
              <w:rPr>
                <w:lang w:val="en-US"/>
              </w:rPr>
              <w:t>Low</w:t>
            </w:r>
          </w:p>
          <w:p w14:paraId="22542693" w14:textId="77777777" w:rsidR="00B437D7" w:rsidRPr="000A3B15" w:rsidRDefault="009417EC" w:rsidP="00406ECE">
            <w:pPr>
              <w:pStyle w:val="NoSpacing"/>
              <w:rPr>
                <w:lang w:val="en-US"/>
              </w:rPr>
            </w:pPr>
            <w:r w:rsidRPr="000A3B15">
              <w:rPr>
                <w:lang w:val="en-US"/>
              </w:rPr>
              <w:t>&lt; 5</w:t>
            </w:r>
            <w:r w:rsidR="00B437D7" w:rsidRPr="000A3B15">
              <w:rPr>
                <w:lang w:val="en-US"/>
              </w:rPr>
              <w:t xml:space="preserve"> FTE</w:t>
            </w:r>
          </w:p>
        </w:tc>
      </w:tr>
      <w:tr w:rsidR="00406ECE" w:rsidRPr="000A3B15" w14:paraId="6B000719" w14:textId="77777777" w:rsidTr="009255EE">
        <w:tc>
          <w:tcPr>
            <w:tcW w:w="3402" w:type="dxa"/>
          </w:tcPr>
          <w:p w14:paraId="0D5E17C7" w14:textId="77777777" w:rsidR="00406ECE" w:rsidRPr="000A3B15" w:rsidRDefault="00406ECE" w:rsidP="00406ECE">
            <w:pPr>
              <w:pStyle w:val="NoSpacing"/>
              <w:rPr>
                <w:lang w:val="en-US"/>
              </w:rPr>
            </w:pPr>
            <w:r w:rsidRPr="000A3B15">
              <w:rPr>
                <w:lang w:val="en-US"/>
              </w:rPr>
              <w:t>Equity Requirements</w:t>
            </w:r>
          </w:p>
        </w:tc>
        <w:tc>
          <w:tcPr>
            <w:tcW w:w="6146" w:type="dxa"/>
          </w:tcPr>
          <w:p w14:paraId="6DC2F363" w14:textId="77777777" w:rsidR="001B42B8" w:rsidRPr="000A3B15" w:rsidRDefault="00E45571" w:rsidP="00406ECE">
            <w:pPr>
              <w:pStyle w:val="NoSpacing"/>
              <w:rPr>
                <w:lang w:val="en-US"/>
              </w:rPr>
            </w:pPr>
            <w:r w:rsidRPr="000A3B15">
              <w:rPr>
                <w:lang w:val="en-US"/>
              </w:rPr>
              <w:t>n/a</w:t>
            </w:r>
          </w:p>
        </w:tc>
      </w:tr>
      <w:tr w:rsidR="00406ECE" w:rsidRPr="000A3B15" w14:paraId="5D3C6BB3" w14:textId="77777777" w:rsidTr="009255EE">
        <w:tc>
          <w:tcPr>
            <w:tcW w:w="3402" w:type="dxa"/>
          </w:tcPr>
          <w:p w14:paraId="7B1D427D" w14:textId="77777777" w:rsidR="00406ECE" w:rsidRPr="000A3B15" w:rsidRDefault="00406ECE" w:rsidP="00406ECE">
            <w:pPr>
              <w:pStyle w:val="NoSpacing"/>
              <w:rPr>
                <w:lang w:val="en-US"/>
              </w:rPr>
            </w:pPr>
            <w:r w:rsidRPr="000A3B15">
              <w:rPr>
                <w:lang w:val="en-US"/>
              </w:rPr>
              <w:t>Funding Requirements</w:t>
            </w:r>
          </w:p>
        </w:tc>
        <w:tc>
          <w:tcPr>
            <w:tcW w:w="6146" w:type="dxa"/>
          </w:tcPr>
          <w:p w14:paraId="2C8CB1B8" w14:textId="77777777" w:rsidR="00406ECE" w:rsidRPr="000A3B15" w:rsidRDefault="009417EC" w:rsidP="00406ECE">
            <w:pPr>
              <w:pStyle w:val="NoSpacing"/>
              <w:rPr>
                <w:lang w:val="en-US"/>
              </w:rPr>
            </w:pPr>
            <w:r w:rsidRPr="000A3B15">
              <w:rPr>
                <w:lang w:val="en-US"/>
              </w:rPr>
              <w:t>Low</w:t>
            </w:r>
          </w:p>
          <w:p w14:paraId="2C8AA082" w14:textId="77777777" w:rsidR="00406ECE" w:rsidRPr="000A3B15" w:rsidRDefault="009417EC" w:rsidP="001F4EB5">
            <w:pPr>
              <w:pStyle w:val="NoSpacing"/>
              <w:rPr>
                <w:lang w:val="en-US"/>
              </w:rPr>
            </w:pPr>
            <w:r w:rsidRPr="000A3B15">
              <w:rPr>
                <w:lang w:val="en-US"/>
              </w:rPr>
              <w:t>Less than 1</w:t>
            </w:r>
            <w:r w:rsidR="001B42B8" w:rsidRPr="000A3B15">
              <w:rPr>
                <w:lang w:val="en-US"/>
              </w:rPr>
              <w:t>M</w:t>
            </w:r>
            <w:r w:rsidR="00406ECE" w:rsidRPr="000A3B15">
              <w:rPr>
                <w:lang w:val="en-US"/>
              </w:rPr>
              <w:t xml:space="preserve"> €</w:t>
            </w:r>
          </w:p>
        </w:tc>
      </w:tr>
    </w:tbl>
    <w:p w14:paraId="71FC8F03" w14:textId="77777777" w:rsidR="007736E3" w:rsidRPr="000A3B15" w:rsidRDefault="007736E3" w:rsidP="007736E3">
      <w:pPr>
        <w:pStyle w:val="NoSpacing"/>
        <w:rPr>
          <w:lang w:val="en-US"/>
        </w:rPr>
      </w:pPr>
    </w:p>
    <w:p w14:paraId="01074FE5" w14:textId="77777777" w:rsidR="00463895" w:rsidRPr="000A3B15" w:rsidRDefault="00463895" w:rsidP="00463895">
      <w:pPr>
        <w:pStyle w:val="NoSpacing"/>
        <w:rPr>
          <w:b/>
          <w:lang w:val="en-US"/>
        </w:rPr>
      </w:pPr>
      <w:r w:rsidRPr="000A3B15">
        <w:rPr>
          <w:b/>
          <w:lang w:val="en-US"/>
        </w:rPr>
        <w:t>Model Key indicators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0A3B15" w14:paraId="1CEC31F1" w14:textId="77777777" w:rsidTr="009255EE">
        <w:tc>
          <w:tcPr>
            <w:tcW w:w="3402" w:type="dxa"/>
          </w:tcPr>
          <w:p w14:paraId="1090A397" w14:textId="77777777" w:rsidR="00463895" w:rsidRPr="000A3B15" w:rsidRDefault="00463895" w:rsidP="00437D4A">
            <w:pPr>
              <w:pStyle w:val="NoSpacing"/>
              <w:rPr>
                <w:lang w:val="en-US"/>
              </w:rPr>
            </w:pPr>
            <w:r w:rsidRPr="000A3B15">
              <w:rPr>
                <w:lang w:val="en-US"/>
              </w:rPr>
              <w:t xml:space="preserve">Investment volume </w:t>
            </w:r>
            <w:r w:rsidR="00437D4A" w:rsidRPr="000A3B15">
              <w:rPr>
                <w:lang w:val="en-US"/>
              </w:rPr>
              <w:t>targeted</w:t>
            </w:r>
          </w:p>
        </w:tc>
        <w:tc>
          <w:tcPr>
            <w:tcW w:w="6146" w:type="dxa"/>
          </w:tcPr>
          <w:p w14:paraId="17E08F75" w14:textId="77777777" w:rsidR="00463895" w:rsidRPr="000A3B15" w:rsidRDefault="00437D4A" w:rsidP="006A2D89">
            <w:pPr>
              <w:pStyle w:val="NoSpacing"/>
              <w:rPr>
                <w:lang w:val="en-US"/>
              </w:rPr>
            </w:pPr>
            <w:r w:rsidRPr="000A3B15">
              <w:rPr>
                <w:lang w:val="en-US"/>
              </w:rPr>
              <w:t>1</w:t>
            </w:r>
            <w:r w:rsidR="006A2D89" w:rsidRPr="000A3B15">
              <w:rPr>
                <w:lang w:val="en-US"/>
              </w:rPr>
              <w:t>3,2</w:t>
            </w:r>
            <w:r w:rsidRPr="000A3B15">
              <w:rPr>
                <w:lang w:val="en-US"/>
              </w:rPr>
              <w:t xml:space="preserve"> M€</w:t>
            </w:r>
          </w:p>
        </w:tc>
      </w:tr>
      <w:tr w:rsidR="00463895" w:rsidRPr="000A3B15" w14:paraId="2AA59E83" w14:textId="77777777" w:rsidTr="009255EE">
        <w:tc>
          <w:tcPr>
            <w:tcW w:w="3402" w:type="dxa"/>
          </w:tcPr>
          <w:p w14:paraId="2C44AFC0" w14:textId="77777777" w:rsidR="00463895" w:rsidRPr="000A3B15" w:rsidRDefault="00463895" w:rsidP="00463895">
            <w:pPr>
              <w:pStyle w:val="NoSpacing"/>
              <w:rPr>
                <w:lang w:val="en-US"/>
              </w:rPr>
            </w:pPr>
            <w:r w:rsidRPr="000A3B15">
              <w:rPr>
                <w:lang w:val="en-US"/>
              </w:rPr>
              <w:t>Size of project (or project portfolio)</w:t>
            </w:r>
          </w:p>
        </w:tc>
        <w:tc>
          <w:tcPr>
            <w:tcW w:w="6146" w:type="dxa"/>
          </w:tcPr>
          <w:p w14:paraId="621715A1" w14:textId="77777777" w:rsidR="00463895" w:rsidRPr="000A3B15" w:rsidRDefault="006A2D89" w:rsidP="00437D4A">
            <w:pPr>
              <w:pStyle w:val="NoSpacing"/>
              <w:rPr>
                <w:lang w:val="en-US"/>
              </w:rPr>
            </w:pPr>
            <w:r w:rsidRPr="000A3B15">
              <w:rPr>
                <w:lang w:val="en-US"/>
              </w:rPr>
              <w:t>0,06</w:t>
            </w:r>
            <w:r w:rsidR="00437D4A" w:rsidRPr="000A3B15">
              <w:rPr>
                <w:lang w:val="en-US"/>
              </w:rPr>
              <w:t xml:space="preserve"> M€</w:t>
            </w:r>
            <w:r w:rsidRPr="000A3B15">
              <w:rPr>
                <w:lang w:val="en-US"/>
              </w:rPr>
              <w:t xml:space="preserve"> to 6,6</w:t>
            </w:r>
            <w:r w:rsidR="00437D4A" w:rsidRPr="000A3B15">
              <w:rPr>
                <w:lang w:val="en-US"/>
              </w:rPr>
              <w:t xml:space="preserve"> </w:t>
            </w:r>
            <w:r w:rsidR="001B42B8" w:rsidRPr="000A3B15">
              <w:rPr>
                <w:lang w:val="en-US"/>
              </w:rPr>
              <w:t>M</w:t>
            </w:r>
            <w:r w:rsidR="00437D4A" w:rsidRPr="000A3B15">
              <w:rPr>
                <w:lang w:val="en-US"/>
              </w:rPr>
              <w:t>€</w:t>
            </w:r>
          </w:p>
        </w:tc>
      </w:tr>
      <w:tr w:rsidR="00463895" w:rsidRPr="000A3B15" w14:paraId="1806FFEA" w14:textId="77777777" w:rsidTr="009255EE">
        <w:tc>
          <w:tcPr>
            <w:tcW w:w="3402" w:type="dxa"/>
          </w:tcPr>
          <w:p w14:paraId="2EBEE1A8" w14:textId="77777777" w:rsidR="00463895" w:rsidRPr="000A3B15" w:rsidRDefault="00463895" w:rsidP="00463895">
            <w:pPr>
              <w:pStyle w:val="NoSpacing"/>
              <w:rPr>
                <w:lang w:val="en-US"/>
              </w:rPr>
            </w:pPr>
            <w:r w:rsidRPr="000A3B15">
              <w:rPr>
                <w:lang w:val="en-US"/>
              </w:rPr>
              <w:t>Level of average energy savings</w:t>
            </w:r>
          </w:p>
        </w:tc>
        <w:tc>
          <w:tcPr>
            <w:tcW w:w="6146" w:type="dxa"/>
          </w:tcPr>
          <w:p w14:paraId="6BE3AA3E" w14:textId="77777777" w:rsidR="00463895" w:rsidRPr="000A3B15" w:rsidRDefault="006A2D89" w:rsidP="00463895">
            <w:pPr>
              <w:pStyle w:val="NoSpacing"/>
              <w:rPr>
                <w:lang w:val="en-US"/>
              </w:rPr>
            </w:pPr>
            <w:r w:rsidRPr="000A3B15">
              <w:rPr>
                <w:lang w:val="en-US"/>
              </w:rPr>
              <w:t>25% - 85</w:t>
            </w:r>
            <w:r w:rsidR="001B42B8" w:rsidRPr="000A3B15">
              <w:rPr>
                <w:lang w:val="en-US"/>
              </w:rPr>
              <w:t>%</w:t>
            </w:r>
          </w:p>
        </w:tc>
      </w:tr>
    </w:tbl>
    <w:p w14:paraId="5F94835B" w14:textId="77777777" w:rsidR="00463895" w:rsidRPr="000A3B15" w:rsidRDefault="00463895" w:rsidP="007736E3">
      <w:pPr>
        <w:pStyle w:val="NoSpacing"/>
        <w:rPr>
          <w:b/>
          <w:lang w:val="en-US"/>
        </w:rPr>
      </w:pPr>
    </w:p>
    <w:p w14:paraId="5F80219C" w14:textId="77777777" w:rsidR="00437D4A" w:rsidRPr="000A3B15" w:rsidRDefault="00437D4A" w:rsidP="007736E3">
      <w:pPr>
        <w:pStyle w:val="NoSpacing"/>
        <w:rPr>
          <w:b/>
          <w:lang w:val="en-US"/>
        </w:rPr>
      </w:pPr>
    </w:p>
    <w:p w14:paraId="5196388F" w14:textId="77777777" w:rsidR="00437D4A" w:rsidRPr="000A3B15" w:rsidRDefault="00437D4A" w:rsidP="007736E3">
      <w:pPr>
        <w:pStyle w:val="NoSpacing"/>
        <w:rPr>
          <w:b/>
          <w:lang w:val="en-US"/>
        </w:rPr>
      </w:pPr>
    </w:p>
    <w:p w14:paraId="0B04AC74" w14:textId="77777777" w:rsidR="00463895" w:rsidRPr="000A3B15" w:rsidRDefault="00463895" w:rsidP="00463895">
      <w:pPr>
        <w:pStyle w:val="NoSpacing"/>
        <w:rPr>
          <w:b/>
          <w:lang w:val="en-US"/>
        </w:rPr>
      </w:pPr>
      <w:r w:rsidRPr="000A3B15">
        <w:rPr>
          <w:b/>
          <w:lang w:val="en-US"/>
        </w:rPr>
        <w:t>Development maturity</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0A3B15" w14:paraId="02F91CD1" w14:textId="77777777" w:rsidTr="009255EE">
        <w:tc>
          <w:tcPr>
            <w:tcW w:w="3402" w:type="dxa"/>
          </w:tcPr>
          <w:p w14:paraId="4D58A433" w14:textId="77777777" w:rsidR="00463895" w:rsidRPr="000A3B15" w:rsidRDefault="00463895" w:rsidP="00463895">
            <w:pPr>
              <w:pStyle w:val="NoSpacing"/>
              <w:rPr>
                <w:lang w:val="en-US"/>
              </w:rPr>
            </w:pPr>
            <w:r w:rsidRPr="000A3B15">
              <w:rPr>
                <w:lang w:val="en-US"/>
              </w:rPr>
              <w:t>Development/implementation stage</w:t>
            </w:r>
          </w:p>
        </w:tc>
        <w:tc>
          <w:tcPr>
            <w:tcW w:w="6146" w:type="dxa"/>
          </w:tcPr>
          <w:p w14:paraId="5CA00BFF" w14:textId="77777777" w:rsidR="00463895" w:rsidRPr="000A3B15" w:rsidRDefault="00437D4A" w:rsidP="00463895">
            <w:pPr>
              <w:pStyle w:val="NoSpacing"/>
              <w:rPr>
                <w:lang w:val="en-US"/>
              </w:rPr>
            </w:pPr>
            <w:r w:rsidRPr="000A3B15">
              <w:rPr>
                <w:lang w:val="en-US"/>
              </w:rPr>
              <w:t>Start-up</w:t>
            </w:r>
          </w:p>
        </w:tc>
      </w:tr>
      <w:tr w:rsidR="00463895" w:rsidRPr="000A3B15" w14:paraId="3DBFB414" w14:textId="77777777" w:rsidTr="009255EE">
        <w:tc>
          <w:tcPr>
            <w:tcW w:w="3402" w:type="dxa"/>
          </w:tcPr>
          <w:p w14:paraId="29D335F9" w14:textId="77777777" w:rsidR="00463895" w:rsidRPr="000A3B15" w:rsidRDefault="00463895" w:rsidP="00463895">
            <w:pPr>
              <w:pStyle w:val="NoSpacing"/>
              <w:rPr>
                <w:lang w:val="en-US"/>
              </w:rPr>
            </w:pPr>
            <w:r w:rsidRPr="000A3B15">
              <w:rPr>
                <w:lang w:val="en-US"/>
              </w:rPr>
              <w:t>Operational development maturity</w:t>
            </w:r>
          </w:p>
        </w:tc>
        <w:tc>
          <w:tcPr>
            <w:tcW w:w="6146" w:type="dxa"/>
          </w:tcPr>
          <w:p w14:paraId="26CA6635" w14:textId="77777777" w:rsidR="00463895" w:rsidRPr="000A3B15" w:rsidRDefault="00437D4A" w:rsidP="00463895">
            <w:pPr>
              <w:pStyle w:val="NoSpacing"/>
              <w:rPr>
                <w:lang w:val="en-US"/>
              </w:rPr>
            </w:pPr>
            <w:r w:rsidRPr="000A3B15">
              <w:rPr>
                <w:lang w:val="en-US"/>
              </w:rPr>
              <w:t>Start-up</w:t>
            </w:r>
          </w:p>
        </w:tc>
      </w:tr>
      <w:tr w:rsidR="00463895" w:rsidRPr="000A3B15" w14:paraId="1E0C74FB" w14:textId="77777777" w:rsidTr="009255EE">
        <w:tc>
          <w:tcPr>
            <w:tcW w:w="3402" w:type="dxa"/>
          </w:tcPr>
          <w:p w14:paraId="7E6C3F46" w14:textId="77777777" w:rsidR="00463895" w:rsidRPr="000A3B15" w:rsidRDefault="00463895" w:rsidP="00463895">
            <w:pPr>
              <w:pStyle w:val="NoSpacing"/>
              <w:rPr>
                <w:lang w:val="en-US"/>
              </w:rPr>
            </w:pPr>
            <w:r w:rsidRPr="000A3B15">
              <w:rPr>
                <w:lang w:val="en-US"/>
              </w:rPr>
              <w:t>Financial development maturity</w:t>
            </w:r>
          </w:p>
        </w:tc>
        <w:tc>
          <w:tcPr>
            <w:tcW w:w="6146" w:type="dxa"/>
          </w:tcPr>
          <w:p w14:paraId="19C462BC" w14:textId="77777777" w:rsidR="00463895" w:rsidRPr="000A3B15" w:rsidRDefault="00437D4A" w:rsidP="00463895">
            <w:pPr>
              <w:pStyle w:val="NoSpacing"/>
              <w:rPr>
                <w:lang w:val="en-US"/>
              </w:rPr>
            </w:pPr>
            <w:r w:rsidRPr="000A3B15">
              <w:rPr>
                <w:lang w:val="en-US"/>
              </w:rPr>
              <w:t>Start-up</w:t>
            </w:r>
          </w:p>
        </w:tc>
      </w:tr>
    </w:tbl>
    <w:p w14:paraId="5EF07AE0" w14:textId="77777777" w:rsidR="00463895" w:rsidRPr="000A3B15" w:rsidRDefault="00463895" w:rsidP="007736E3">
      <w:pPr>
        <w:pStyle w:val="NoSpacing"/>
        <w:rPr>
          <w:b/>
          <w:lang w:val="en-US"/>
        </w:rPr>
      </w:pPr>
    </w:p>
    <w:p w14:paraId="4AA6DE55" w14:textId="77777777" w:rsidR="00463895" w:rsidRPr="000A3B15" w:rsidRDefault="00463895" w:rsidP="007736E3">
      <w:pPr>
        <w:pStyle w:val="NoSpacing"/>
        <w:rPr>
          <w:b/>
          <w:lang w:val="en-US"/>
        </w:rPr>
      </w:pPr>
      <w:r w:rsidRPr="000A3B15">
        <w:rPr>
          <w:b/>
          <w:lang w:val="en-US"/>
        </w:rPr>
        <w:t>Model Qualification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0A3B15" w14:paraId="49595F5F" w14:textId="77777777" w:rsidTr="009255EE">
        <w:tc>
          <w:tcPr>
            <w:tcW w:w="3402" w:type="dxa"/>
          </w:tcPr>
          <w:p w14:paraId="7EAC3F7D" w14:textId="77777777" w:rsidR="00463895" w:rsidRPr="000A3B15" w:rsidRDefault="00463895" w:rsidP="00463895">
            <w:pPr>
              <w:pStyle w:val="NoSpacing"/>
              <w:rPr>
                <w:lang w:val="en-US"/>
              </w:rPr>
            </w:pPr>
            <w:r w:rsidRPr="000A3B15">
              <w:rPr>
                <w:lang w:val="en-US"/>
              </w:rPr>
              <w:t>Level of establishment</w:t>
            </w:r>
          </w:p>
        </w:tc>
        <w:tc>
          <w:tcPr>
            <w:tcW w:w="6146" w:type="dxa"/>
          </w:tcPr>
          <w:p w14:paraId="310C8BBB" w14:textId="77777777" w:rsidR="00463895" w:rsidRPr="000A3B15" w:rsidRDefault="00463895" w:rsidP="00463895">
            <w:pPr>
              <w:pStyle w:val="NoSpacing"/>
              <w:rPr>
                <w:lang w:val="en-US"/>
              </w:rPr>
            </w:pPr>
            <w:r w:rsidRPr="000A3B15">
              <w:rPr>
                <w:lang w:val="en-US"/>
              </w:rPr>
              <w:t>Well established</w:t>
            </w:r>
          </w:p>
        </w:tc>
      </w:tr>
      <w:tr w:rsidR="00463895" w:rsidRPr="000A3B15" w14:paraId="168B4718" w14:textId="77777777" w:rsidTr="009255EE">
        <w:tc>
          <w:tcPr>
            <w:tcW w:w="3402" w:type="dxa"/>
          </w:tcPr>
          <w:p w14:paraId="04ACA292" w14:textId="77777777" w:rsidR="00463895" w:rsidRPr="000A3B15" w:rsidRDefault="001B42B8" w:rsidP="00463895">
            <w:pPr>
              <w:pStyle w:val="NoSpacing"/>
              <w:rPr>
                <w:lang w:val="en-US"/>
              </w:rPr>
            </w:pPr>
            <w:r w:rsidRPr="000A3B15">
              <w:rPr>
                <w:lang w:val="en-US"/>
              </w:rPr>
              <w:t>Growth</w:t>
            </w:r>
            <w:r w:rsidR="00463895" w:rsidRPr="000A3B15">
              <w:rPr>
                <w:lang w:val="en-US"/>
              </w:rPr>
              <w:t xml:space="preserve"> potential</w:t>
            </w:r>
          </w:p>
        </w:tc>
        <w:tc>
          <w:tcPr>
            <w:tcW w:w="6146" w:type="dxa"/>
          </w:tcPr>
          <w:p w14:paraId="6DE57375" w14:textId="77777777" w:rsidR="00463895" w:rsidRPr="000A3B15" w:rsidRDefault="00463895" w:rsidP="00463895">
            <w:pPr>
              <w:pStyle w:val="NoSpacing"/>
              <w:rPr>
                <w:lang w:val="en-US"/>
              </w:rPr>
            </w:pPr>
            <w:r w:rsidRPr="000A3B15">
              <w:rPr>
                <w:lang w:val="en-US"/>
              </w:rPr>
              <w:t>Large</w:t>
            </w:r>
          </w:p>
        </w:tc>
      </w:tr>
      <w:tr w:rsidR="00463895" w:rsidRPr="000A3B15" w14:paraId="50122AF7" w14:textId="77777777" w:rsidTr="009255EE">
        <w:tc>
          <w:tcPr>
            <w:tcW w:w="3402" w:type="dxa"/>
          </w:tcPr>
          <w:p w14:paraId="7833134C" w14:textId="77777777" w:rsidR="00463895" w:rsidRPr="000A3B15" w:rsidRDefault="00463895" w:rsidP="00463895">
            <w:pPr>
              <w:pStyle w:val="NoSpacing"/>
              <w:rPr>
                <w:lang w:val="en-US"/>
              </w:rPr>
            </w:pPr>
            <w:r w:rsidRPr="000A3B15">
              <w:rPr>
                <w:lang w:val="en-US"/>
              </w:rPr>
              <w:t>Scalability of the model</w:t>
            </w:r>
          </w:p>
        </w:tc>
        <w:tc>
          <w:tcPr>
            <w:tcW w:w="6146" w:type="dxa"/>
          </w:tcPr>
          <w:p w14:paraId="5A78318F" w14:textId="77777777" w:rsidR="00463895" w:rsidRPr="000A3B15" w:rsidRDefault="00463895" w:rsidP="00463895">
            <w:pPr>
              <w:pStyle w:val="NoSpacing"/>
              <w:rPr>
                <w:lang w:val="en-US"/>
              </w:rPr>
            </w:pPr>
            <w:r w:rsidRPr="000A3B15">
              <w:rPr>
                <w:lang w:val="en-US"/>
              </w:rPr>
              <w:t>High</w:t>
            </w:r>
          </w:p>
        </w:tc>
      </w:tr>
      <w:tr w:rsidR="00463895" w:rsidRPr="000A3B15" w14:paraId="71802F90" w14:textId="77777777" w:rsidTr="009255EE">
        <w:tc>
          <w:tcPr>
            <w:tcW w:w="3402" w:type="dxa"/>
          </w:tcPr>
          <w:p w14:paraId="640734C6" w14:textId="77777777" w:rsidR="00463895" w:rsidRPr="000A3B15" w:rsidRDefault="00463895" w:rsidP="00463895">
            <w:pPr>
              <w:pStyle w:val="NoSpacing"/>
              <w:rPr>
                <w:lang w:val="en-US"/>
              </w:rPr>
            </w:pPr>
            <w:r w:rsidRPr="000A3B15">
              <w:rPr>
                <w:lang w:val="en-US"/>
              </w:rPr>
              <w:t>Replicability of the model</w:t>
            </w:r>
          </w:p>
        </w:tc>
        <w:tc>
          <w:tcPr>
            <w:tcW w:w="6146" w:type="dxa"/>
          </w:tcPr>
          <w:p w14:paraId="0380711E" w14:textId="77777777" w:rsidR="00463895" w:rsidRPr="000A3B15" w:rsidRDefault="00463895" w:rsidP="00463895">
            <w:pPr>
              <w:pStyle w:val="NoSpacing"/>
              <w:rPr>
                <w:lang w:val="en-US"/>
              </w:rPr>
            </w:pPr>
            <w:r w:rsidRPr="000A3B15">
              <w:rPr>
                <w:lang w:val="en-US"/>
              </w:rPr>
              <w:t>High</w:t>
            </w:r>
          </w:p>
        </w:tc>
      </w:tr>
      <w:tr w:rsidR="00463895" w:rsidRPr="000A3B15" w14:paraId="436E3D90" w14:textId="77777777" w:rsidTr="009255EE">
        <w:tc>
          <w:tcPr>
            <w:tcW w:w="3402" w:type="dxa"/>
          </w:tcPr>
          <w:p w14:paraId="5DAD92D5" w14:textId="77777777" w:rsidR="00463895" w:rsidRPr="000A3B15" w:rsidRDefault="00463895" w:rsidP="00463895">
            <w:pPr>
              <w:pStyle w:val="NoSpacing"/>
              <w:rPr>
                <w:lang w:val="en-US"/>
              </w:rPr>
            </w:pPr>
            <w:r w:rsidRPr="000A3B15">
              <w:rPr>
                <w:lang w:val="en-US"/>
              </w:rPr>
              <w:t>Impact on public balance sheet</w:t>
            </w:r>
          </w:p>
        </w:tc>
        <w:tc>
          <w:tcPr>
            <w:tcW w:w="6146" w:type="dxa"/>
          </w:tcPr>
          <w:p w14:paraId="66E6E864" w14:textId="77777777" w:rsidR="00463895" w:rsidRPr="000A3B15" w:rsidRDefault="008B274A" w:rsidP="00437D4A">
            <w:pPr>
              <w:pStyle w:val="NoSpacing"/>
              <w:rPr>
                <w:lang w:val="en-US"/>
              </w:rPr>
            </w:pPr>
            <w:r w:rsidRPr="000A3B15">
              <w:rPr>
                <w:lang w:val="en-US"/>
              </w:rPr>
              <w:t>High</w:t>
            </w:r>
          </w:p>
        </w:tc>
      </w:tr>
    </w:tbl>
    <w:p w14:paraId="773C931A" w14:textId="77777777" w:rsidR="00463895" w:rsidRPr="000A3B15" w:rsidRDefault="00463895" w:rsidP="007736E3">
      <w:pPr>
        <w:pStyle w:val="NoSpacing"/>
        <w:rPr>
          <w:lang w:val="en-US"/>
        </w:rPr>
      </w:pPr>
    </w:p>
    <w:p w14:paraId="69E44BD2" w14:textId="77777777" w:rsidR="007736E3" w:rsidRPr="000A3B15" w:rsidRDefault="007736E3" w:rsidP="007736E3">
      <w:pPr>
        <w:pStyle w:val="NoSpacing"/>
        <w:rPr>
          <w:lang w:val="en-US"/>
        </w:rPr>
      </w:pPr>
    </w:p>
    <w:sectPr w:rsidR="007736E3" w:rsidRPr="000A3B15" w:rsidSect="009B1E03">
      <w:headerReference w:type="default" r:id="rId11"/>
      <w:footerReference w:type="default" r:id="rId12"/>
      <w:pgSz w:w="12240" w:h="15840"/>
      <w:pgMar w:top="993"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5183D" w16cid:durableId="1DD4DC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408D0" w14:textId="77777777" w:rsidR="009E58E6" w:rsidRDefault="009E58E6" w:rsidP="006C7E68">
      <w:pPr>
        <w:spacing w:after="0" w:line="240" w:lineRule="auto"/>
      </w:pPr>
      <w:r>
        <w:separator/>
      </w:r>
    </w:p>
  </w:endnote>
  <w:endnote w:type="continuationSeparator" w:id="0">
    <w:p w14:paraId="1D034652" w14:textId="77777777" w:rsidR="009E58E6" w:rsidRDefault="009E58E6"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14:paraId="5E4DFF5B" w14:textId="77777777" w:rsidR="0026172F" w:rsidRPr="00E52159" w:rsidRDefault="002171DD">
        <w:pPr>
          <w:pStyle w:val="Footer"/>
          <w:pBdr>
            <w:top w:val="single" w:sz="4" w:space="1" w:color="D9D9D9" w:themeColor="background1" w:themeShade="D9"/>
          </w:pBdr>
          <w:jc w:val="right"/>
          <w:rPr>
            <w:color w:val="539432"/>
          </w:rPr>
        </w:pPr>
        <w:r w:rsidRPr="00E52159">
          <w:rPr>
            <w:color w:val="539432"/>
          </w:rPr>
          <w:fldChar w:fldCharType="begin"/>
        </w:r>
        <w:r w:rsidR="0026172F" w:rsidRPr="00E52159">
          <w:rPr>
            <w:color w:val="539432"/>
          </w:rPr>
          <w:instrText xml:space="preserve"> </w:instrText>
        </w:r>
        <w:r w:rsidR="0026172F">
          <w:rPr>
            <w:color w:val="539432"/>
          </w:rPr>
          <w:instrText>PAGE</w:instrText>
        </w:r>
        <w:r w:rsidR="0026172F" w:rsidRPr="00E52159">
          <w:rPr>
            <w:color w:val="539432"/>
          </w:rPr>
          <w:instrText xml:space="preserve">   \* MERGEFORMAT </w:instrText>
        </w:r>
        <w:r w:rsidRPr="00E52159">
          <w:rPr>
            <w:color w:val="539432"/>
          </w:rPr>
          <w:fldChar w:fldCharType="separate"/>
        </w:r>
        <w:r w:rsidR="00214827">
          <w:rPr>
            <w:noProof/>
            <w:color w:val="539432"/>
          </w:rPr>
          <w:t>1</w:t>
        </w:r>
        <w:r w:rsidRPr="00E52159">
          <w:rPr>
            <w:noProof/>
            <w:color w:val="539432"/>
          </w:rPr>
          <w:fldChar w:fldCharType="end"/>
        </w:r>
        <w:r w:rsidR="0026172F" w:rsidRPr="00E52159">
          <w:rPr>
            <w:color w:val="539432"/>
          </w:rPr>
          <w:t xml:space="preserve"> | </w:t>
        </w:r>
        <w:r w:rsidR="0026172F" w:rsidRPr="00E52159">
          <w:rPr>
            <w:color w:val="539432"/>
            <w:spacing w:val="60"/>
          </w:rPr>
          <w:t>Page</w:t>
        </w:r>
      </w:p>
    </w:sdtContent>
  </w:sdt>
  <w:p w14:paraId="714A327A" w14:textId="77777777" w:rsidR="0026172F" w:rsidRDefault="0026172F" w:rsidP="00E8569E">
    <w:pPr>
      <w:pStyle w:val="Footer"/>
    </w:pPr>
    <w:r>
      <w:rPr>
        <w:noProof/>
        <w:lang w:val="nl-BE" w:eastAsia="nl-BE"/>
      </w:rPr>
      <w:drawing>
        <wp:anchor distT="0" distB="0" distL="114300" distR="114300" simplePos="0" relativeHeight="251658240" behindDoc="1" locked="0" layoutInCell="1" allowOverlap="1" wp14:anchorId="3A10FD1F" wp14:editId="38CB5AC4">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CC680" w14:textId="77777777" w:rsidR="009E58E6" w:rsidRDefault="009E58E6" w:rsidP="006C7E68">
      <w:pPr>
        <w:spacing w:after="0" w:line="240" w:lineRule="auto"/>
      </w:pPr>
      <w:r>
        <w:separator/>
      </w:r>
    </w:p>
  </w:footnote>
  <w:footnote w:type="continuationSeparator" w:id="0">
    <w:p w14:paraId="39E6F19C" w14:textId="77777777" w:rsidR="009E58E6" w:rsidRDefault="009E58E6"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3145" w14:textId="77777777" w:rsidR="0026172F" w:rsidRDefault="0026172F"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E4F95"/>
    <w:multiLevelType w:val="hybridMultilevel"/>
    <w:tmpl w:val="A7365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71394A"/>
    <w:multiLevelType w:val="hybridMultilevel"/>
    <w:tmpl w:val="1D4C6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9032CE"/>
    <w:multiLevelType w:val="hybridMultilevel"/>
    <w:tmpl w:val="8C726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FD346A"/>
    <w:multiLevelType w:val="hybridMultilevel"/>
    <w:tmpl w:val="2D1CF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C750C8F"/>
    <w:multiLevelType w:val="hybridMultilevel"/>
    <w:tmpl w:val="D83AE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E7A1217"/>
    <w:multiLevelType w:val="hybridMultilevel"/>
    <w:tmpl w:val="76A4E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72B7C95"/>
    <w:multiLevelType w:val="hybridMultilevel"/>
    <w:tmpl w:val="78EA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1D853116"/>
    <w:multiLevelType w:val="hybridMultilevel"/>
    <w:tmpl w:val="8D36D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E20604A"/>
    <w:multiLevelType w:val="hybridMultilevel"/>
    <w:tmpl w:val="9B1C27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1E736A69"/>
    <w:multiLevelType w:val="hybridMultilevel"/>
    <w:tmpl w:val="3146A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A2118A"/>
    <w:multiLevelType w:val="hybridMultilevel"/>
    <w:tmpl w:val="4000B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2402E84"/>
    <w:multiLevelType w:val="hybridMultilevel"/>
    <w:tmpl w:val="6F9A055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509711A"/>
    <w:multiLevelType w:val="hybridMultilevel"/>
    <w:tmpl w:val="873A4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D4D19C9"/>
    <w:multiLevelType w:val="hybridMultilevel"/>
    <w:tmpl w:val="E700A384"/>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413A49"/>
    <w:multiLevelType w:val="hybridMultilevel"/>
    <w:tmpl w:val="673AB6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744E75"/>
    <w:multiLevelType w:val="hybridMultilevel"/>
    <w:tmpl w:val="5622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BD64AEA"/>
    <w:multiLevelType w:val="hybridMultilevel"/>
    <w:tmpl w:val="532A0D7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BC0BC7"/>
    <w:multiLevelType w:val="hybridMultilevel"/>
    <w:tmpl w:val="E5D4B2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63EB793C"/>
    <w:multiLevelType w:val="hybridMultilevel"/>
    <w:tmpl w:val="B00C4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D3407E"/>
    <w:multiLevelType w:val="hybridMultilevel"/>
    <w:tmpl w:val="FDE4B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C92EC1"/>
    <w:multiLevelType w:val="hybridMultilevel"/>
    <w:tmpl w:val="9C46A01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83134"/>
    <w:multiLevelType w:val="hybridMultilevel"/>
    <w:tmpl w:val="9DC6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7"/>
  </w:num>
  <w:num w:numId="13">
    <w:abstractNumId w:val="14"/>
  </w:num>
  <w:num w:numId="14">
    <w:abstractNumId w:val="34"/>
  </w:num>
  <w:num w:numId="15">
    <w:abstractNumId w:val="20"/>
  </w:num>
  <w:num w:numId="16">
    <w:abstractNumId w:val="38"/>
  </w:num>
  <w:num w:numId="17">
    <w:abstractNumId w:val="33"/>
  </w:num>
  <w:num w:numId="18">
    <w:abstractNumId w:val="18"/>
  </w:num>
  <w:num w:numId="19">
    <w:abstractNumId w:val="28"/>
  </w:num>
  <w:num w:numId="20">
    <w:abstractNumId w:val="25"/>
  </w:num>
  <w:num w:numId="21">
    <w:abstractNumId w:val="31"/>
  </w:num>
  <w:num w:numId="22">
    <w:abstractNumId w:val="17"/>
  </w:num>
  <w:num w:numId="23">
    <w:abstractNumId w:val="37"/>
  </w:num>
  <w:num w:numId="24">
    <w:abstractNumId w:val="23"/>
  </w:num>
  <w:num w:numId="25">
    <w:abstractNumId w:val="30"/>
  </w:num>
  <w:num w:numId="26">
    <w:abstractNumId w:val="35"/>
  </w:num>
  <w:num w:numId="27">
    <w:abstractNumId w:val="39"/>
  </w:num>
  <w:num w:numId="28">
    <w:abstractNumId w:val="13"/>
  </w:num>
  <w:num w:numId="29">
    <w:abstractNumId w:val="32"/>
  </w:num>
  <w:num w:numId="30">
    <w:abstractNumId w:val="36"/>
  </w:num>
  <w:num w:numId="31">
    <w:abstractNumId w:val="24"/>
  </w:num>
  <w:num w:numId="32">
    <w:abstractNumId w:val="11"/>
  </w:num>
  <w:num w:numId="33">
    <w:abstractNumId w:val="15"/>
  </w:num>
  <w:num w:numId="34">
    <w:abstractNumId w:val="16"/>
  </w:num>
  <w:num w:numId="35">
    <w:abstractNumId w:val="19"/>
  </w:num>
  <w:num w:numId="36">
    <w:abstractNumId w:val="21"/>
  </w:num>
  <w:num w:numId="37">
    <w:abstractNumId w:val="26"/>
  </w:num>
  <w:num w:numId="38">
    <w:abstractNumId w:val="22"/>
  </w:num>
  <w:num w:numId="39">
    <w:abstractNumId w:val="2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2304"/>
    <w:rsid w:val="00003575"/>
    <w:rsid w:val="0001481B"/>
    <w:rsid w:val="000239CA"/>
    <w:rsid w:val="00031A20"/>
    <w:rsid w:val="00036DF5"/>
    <w:rsid w:val="0003790F"/>
    <w:rsid w:val="000662F1"/>
    <w:rsid w:val="0006785F"/>
    <w:rsid w:val="00091901"/>
    <w:rsid w:val="00095062"/>
    <w:rsid w:val="00097FF2"/>
    <w:rsid w:val="000A0786"/>
    <w:rsid w:val="000A3B15"/>
    <w:rsid w:val="000B1B3F"/>
    <w:rsid w:val="000B69D1"/>
    <w:rsid w:val="000B6E16"/>
    <w:rsid w:val="000B7DE5"/>
    <w:rsid w:val="000C0B42"/>
    <w:rsid w:val="001003D6"/>
    <w:rsid w:val="00130498"/>
    <w:rsid w:val="00132595"/>
    <w:rsid w:val="00132BE7"/>
    <w:rsid w:val="00134029"/>
    <w:rsid w:val="00141755"/>
    <w:rsid w:val="001476AD"/>
    <w:rsid w:val="00164BC2"/>
    <w:rsid w:val="00175DE5"/>
    <w:rsid w:val="00176A6E"/>
    <w:rsid w:val="00195E9F"/>
    <w:rsid w:val="001A3734"/>
    <w:rsid w:val="001B42B8"/>
    <w:rsid w:val="001B79F3"/>
    <w:rsid w:val="001C04DD"/>
    <w:rsid w:val="001C1123"/>
    <w:rsid w:val="001D05B3"/>
    <w:rsid w:val="001D0A5B"/>
    <w:rsid w:val="001D3ED7"/>
    <w:rsid w:val="001D4646"/>
    <w:rsid w:val="001F4EB5"/>
    <w:rsid w:val="001F6AAC"/>
    <w:rsid w:val="0020178F"/>
    <w:rsid w:val="00214827"/>
    <w:rsid w:val="002171DD"/>
    <w:rsid w:val="0022692C"/>
    <w:rsid w:val="00230390"/>
    <w:rsid w:val="00240780"/>
    <w:rsid w:val="00257316"/>
    <w:rsid w:val="0026172F"/>
    <w:rsid w:val="00276AE7"/>
    <w:rsid w:val="00292892"/>
    <w:rsid w:val="002D0B34"/>
    <w:rsid w:val="002D3D79"/>
    <w:rsid w:val="002F4CBA"/>
    <w:rsid w:val="002F538E"/>
    <w:rsid w:val="003037ED"/>
    <w:rsid w:val="00313F66"/>
    <w:rsid w:val="00317B95"/>
    <w:rsid w:val="00320E0A"/>
    <w:rsid w:val="00335EDC"/>
    <w:rsid w:val="00340B87"/>
    <w:rsid w:val="00340EAB"/>
    <w:rsid w:val="0035132A"/>
    <w:rsid w:val="00384E9C"/>
    <w:rsid w:val="003A0759"/>
    <w:rsid w:val="003A14BD"/>
    <w:rsid w:val="003A273C"/>
    <w:rsid w:val="003A2869"/>
    <w:rsid w:val="003A3150"/>
    <w:rsid w:val="003C1CDB"/>
    <w:rsid w:val="003C75B9"/>
    <w:rsid w:val="003D0C8F"/>
    <w:rsid w:val="003D4337"/>
    <w:rsid w:val="003E1DA8"/>
    <w:rsid w:val="003E7661"/>
    <w:rsid w:val="003F33E8"/>
    <w:rsid w:val="00402BBC"/>
    <w:rsid w:val="00406ECE"/>
    <w:rsid w:val="00410241"/>
    <w:rsid w:val="00422237"/>
    <w:rsid w:val="00430C38"/>
    <w:rsid w:val="00437D4A"/>
    <w:rsid w:val="00445127"/>
    <w:rsid w:val="00447DBD"/>
    <w:rsid w:val="00460C43"/>
    <w:rsid w:val="004620CD"/>
    <w:rsid w:val="00463895"/>
    <w:rsid w:val="0048394A"/>
    <w:rsid w:val="00491096"/>
    <w:rsid w:val="00491572"/>
    <w:rsid w:val="00494775"/>
    <w:rsid w:val="004A2CAF"/>
    <w:rsid w:val="004A53BE"/>
    <w:rsid w:val="004C7F84"/>
    <w:rsid w:val="004D2ECB"/>
    <w:rsid w:val="004F0616"/>
    <w:rsid w:val="004F45F3"/>
    <w:rsid w:val="004F6B84"/>
    <w:rsid w:val="00501440"/>
    <w:rsid w:val="00505407"/>
    <w:rsid w:val="005165EC"/>
    <w:rsid w:val="00524C1D"/>
    <w:rsid w:val="00535BDC"/>
    <w:rsid w:val="0054393F"/>
    <w:rsid w:val="00564AC9"/>
    <w:rsid w:val="00570446"/>
    <w:rsid w:val="00570EBA"/>
    <w:rsid w:val="005759A0"/>
    <w:rsid w:val="00580D50"/>
    <w:rsid w:val="00594C49"/>
    <w:rsid w:val="00596356"/>
    <w:rsid w:val="00596DA9"/>
    <w:rsid w:val="005A1CF8"/>
    <w:rsid w:val="005A7F43"/>
    <w:rsid w:val="005C46C7"/>
    <w:rsid w:val="005E12BA"/>
    <w:rsid w:val="005E795C"/>
    <w:rsid w:val="005E7F56"/>
    <w:rsid w:val="00600DD8"/>
    <w:rsid w:val="00601756"/>
    <w:rsid w:val="00603F8B"/>
    <w:rsid w:val="0060505F"/>
    <w:rsid w:val="006115FA"/>
    <w:rsid w:val="00623B29"/>
    <w:rsid w:val="00626631"/>
    <w:rsid w:val="0063117E"/>
    <w:rsid w:val="0064361F"/>
    <w:rsid w:val="00652255"/>
    <w:rsid w:val="0065332D"/>
    <w:rsid w:val="0065386A"/>
    <w:rsid w:val="006614ED"/>
    <w:rsid w:val="00665F11"/>
    <w:rsid w:val="00670E9F"/>
    <w:rsid w:val="00673561"/>
    <w:rsid w:val="0067399E"/>
    <w:rsid w:val="006859AD"/>
    <w:rsid w:val="00690C26"/>
    <w:rsid w:val="00696B7F"/>
    <w:rsid w:val="00696B8E"/>
    <w:rsid w:val="006A2D89"/>
    <w:rsid w:val="006C7E68"/>
    <w:rsid w:val="006D69D8"/>
    <w:rsid w:val="006E3C40"/>
    <w:rsid w:val="006E49DA"/>
    <w:rsid w:val="00702D1C"/>
    <w:rsid w:val="007061E7"/>
    <w:rsid w:val="007110CD"/>
    <w:rsid w:val="00725A9F"/>
    <w:rsid w:val="00726A7A"/>
    <w:rsid w:val="00734312"/>
    <w:rsid w:val="00737318"/>
    <w:rsid w:val="00746BA2"/>
    <w:rsid w:val="00747722"/>
    <w:rsid w:val="00747F48"/>
    <w:rsid w:val="00753BB9"/>
    <w:rsid w:val="007553B3"/>
    <w:rsid w:val="00755AEA"/>
    <w:rsid w:val="007736E3"/>
    <w:rsid w:val="007743E3"/>
    <w:rsid w:val="0078637C"/>
    <w:rsid w:val="00795E65"/>
    <w:rsid w:val="007A5A17"/>
    <w:rsid w:val="007A6D9B"/>
    <w:rsid w:val="007B0394"/>
    <w:rsid w:val="007B7338"/>
    <w:rsid w:val="007B7FF2"/>
    <w:rsid w:val="007D2174"/>
    <w:rsid w:val="007E1909"/>
    <w:rsid w:val="007E41BD"/>
    <w:rsid w:val="007E6356"/>
    <w:rsid w:val="007F1BFC"/>
    <w:rsid w:val="007F6A03"/>
    <w:rsid w:val="00802DB6"/>
    <w:rsid w:val="00813418"/>
    <w:rsid w:val="00816C8C"/>
    <w:rsid w:val="00822951"/>
    <w:rsid w:val="008349E9"/>
    <w:rsid w:val="00835B2D"/>
    <w:rsid w:val="008362DB"/>
    <w:rsid w:val="00840B1D"/>
    <w:rsid w:val="0084777C"/>
    <w:rsid w:val="008543F4"/>
    <w:rsid w:val="00860F3E"/>
    <w:rsid w:val="00861B78"/>
    <w:rsid w:val="0086218B"/>
    <w:rsid w:val="0086695D"/>
    <w:rsid w:val="00873E23"/>
    <w:rsid w:val="00875E49"/>
    <w:rsid w:val="0088018C"/>
    <w:rsid w:val="00887F8B"/>
    <w:rsid w:val="008916FF"/>
    <w:rsid w:val="008A6687"/>
    <w:rsid w:val="008B116C"/>
    <w:rsid w:val="008B13E7"/>
    <w:rsid w:val="008B274A"/>
    <w:rsid w:val="008C5AB6"/>
    <w:rsid w:val="008E233A"/>
    <w:rsid w:val="00901B5B"/>
    <w:rsid w:val="00915235"/>
    <w:rsid w:val="009255EE"/>
    <w:rsid w:val="009417EC"/>
    <w:rsid w:val="00942290"/>
    <w:rsid w:val="00947B19"/>
    <w:rsid w:val="009627CF"/>
    <w:rsid w:val="00967801"/>
    <w:rsid w:val="00994924"/>
    <w:rsid w:val="00996C6C"/>
    <w:rsid w:val="009B08DD"/>
    <w:rsid w:val="009B1E03"/>
    <w:rsid w:val="009C1E5A"/>
    <w:rsid w:val="009D68AD"/>
    <w:rsid w:val="009E10FC"/>
    <w:rsid w:val="009E1A53"/>
    <w:rsid w:val="009E58E6"/>
    <w:rsid w:val="009E6876"/>
    <w:rsid w:val="009F1D9E"/>
    <w:rsid w:val="00A06C1C"/>
    <w:rsid w:val="00A10716"/>
    <w:rsid w:val="00A139C1"/>
    <w:rsid w:val="00A17D28"/>
    <w:rsid w:val="00A241A5"/>
    <w:rsid w:val="00A247DE"/>
    <w:rsid w:val="00A323E7"/>
    <w:rsid w:val="00A36615"/>
    <w:rsid w:val="00A3673E"/>
    <w:rsid w:val="00A40ECF"/>
    <w:rsid w:val="00A5647F"/>
    <w:rsid w:val="00A56EC5"/>
    <w:rsid w:val="00A65BFD"/>
    <w:rsid w:val="00A7689B"/>
    <w:rsid w:val="00A77E24"/>
    <w:rsid w:val="00A87409"/>
    <w:rsid w:val="00A9182C"/>
    <w:rsid w:val="00AB3B57"/>
    <w:rsid w:val="00AB555D"/>
    <w:rsid w:val="00AB638D"/>
    <w:rsid w:val="00AC1CFB"/>
    <w:rsid w:val="00AD063D"/>
    <w:rsid w:val="00AE1A10"/>
    <w:rsid w:val="00AF4618"/>
    <w:rsid w:val="00B0609F"/>
    <w:rsid w:val="00B12088"/>
    <w:rsid w:val="00B147BC"/>
    <w:rsid w:val="00B15B00"/>
    <w:rsid w:val="00B2011B"/>
    <w:rsid w:val="00B22240"/>
    <w:rsid w:val="00B24305"/>
    <w:rsid w:val="00B25418"/>
    <w:rsid w:val="00B27D20"/>
    <w:rsid w:val="00B325CB"/>
    <w:rsid w:val="00B33FB3"/>
    <w:rsid w:val="00B437D7"/>
    <w:rsid w:val="00B65114"/>
    <w:rsid w:val="00B72C01"/>
    <w:rsid w:val="00B74F15"/>
    <w:rsid w:val="00B77254"/>
    <w:rsid w:val="00B91802"/>
    <w:rsid w:val="00B97910"/>
    <w:rsid w:val="00BA0338"/>
    <w:rsid w:val="00BA1699"/>
    <w:rsid w:val="00BB1840"/>
    <w:rsid w:val="00BC2964"/>
    <w:rsid w:val="00BD62A2"/>
    <w:rsid w:val="00C15EF9"/>
    <w:rsid w:val="00C21E92"/>
    <w:rsid w:val="00C27702"/>
    <w:rsid w:val="00C32C08"/>
    <w:rsid w:val="00C42933"/>
    <w:rsid w:val="00C44B60"/>
    <w:rsid w:val="00C53D40"/>
    <w:rsid w:val="00C60AB3"/>
    <w:rsid w:val="00C61A1D"/>
    <w:rsid w:val="00C86325"/>
    <w:rsid w:val="00CA02A7"/>
    <w:rsid w:val="00CB51B3"/>
    <w:rsid w:val="00CD19A8"/>
    <w:rsid w:val="00CF1ECF"/>
    <w:rsid w:val="00CF2ACF"/>
    <w:rsid w:val="00CF341A"/>
    <w:rsid w:val="00CF3E1F"/>
    <w:rsid w:val="00CF5F39"/>
    <w:rsid w:val="00D037F4"/>
    <w:rsid w:val="00D12179"/>
    <w:rsid w:val="00D14082"/>
    <w:rsid w:val="00D22378"/>
    <w:rsid w:val="00D230E9"/>
    <w:rsid w:val="00D5303F"/>
    <w:rsid w:val="00D669A4"/>
    <w:rsid w:val="00D80D2F"/>
    <w:rsid w:val="00D9412C"/>
    <w:rsid w:val="00D964EF"/>
    <w:rsid w:val="00D97F83"/>
    <w:rsid w:val="00DA4A64"/>
    <w:rsid w:val="00DB03F0"/>
    <w:rsid w:val="00DB6F92"/>
    <w:rsid w:val="00DB7AFB"/>
    <w:rsid w:val="00DC1217"/>
    <w:rsid w:val="00DD69DA"/>
    <w:rsid w:val="00DE13DB"/>
    <w:rsid w:val="00DF7176"/>
    <w:rsid w:val="00E215C7"/>
    <w:rsid w:val="00E21E3A"/>
    <w:rsid w:val="00E309F2"/>
    <w:rsid w:val="00E35FF0"/>
    <w:rsid w:val="00E43B03"/>
    <w:rsid w:val="00E444CF"/>
    <w:rsid w:val="00E45571"/>
    <w:rsid w:val="00E52159"/>
    <w:rsid w:val="00E52AA0"/>
    <w:rsid w:val="00E613D4"/>
    <w:rsid w:val="00E64607"/>
    <w:rsid w:val="00E82AC0"/>
    <w:rsid w:val="00E8569E"/>
    <w:rsid w:val="00E935A6"/>
    <w:rsid w:val="00EA2544"/>
    <w:rsid w:val="00EB2578"/>
    <w:rsid w:val="00EC6B3A"/>
    <w:rsid w:val="00EE1C36"/>
    <w:rsid w:val="00EF456F"/>
    <w:rsid w:val="00F03125"/>
    <w:rsid w:val="00F12FAC"/>
    <w:rsid w:val="00F33D36"/>
    <w:rsid w:val="00F35AE6"/>
    <w:rsid w:val="00F44CAA"/>
    <w:rsid w:val="00F45FD8"/>
    <w:rsid w:val="00F537AA"/>
    <w:rsid w:val="00F6069F"/>
    <w:rsid w:val="00F61CAB"/>
    <w:rsid w:val="00F70508"/>
    <w:rsid w:val="00F70C75"/>
    <w:rsid w:val="00FA6F79"/>
    <w:rsid w:val="00FB072F"/>
    <w:rsid w:val="00FB4E86"/>
    <w:rsid w:val="00FB6060"/>
    <w:rsid w:val="00FB641D"/>
    <w:rsid w:val="00FC099F"/>
    <w:rsid w:val="00FD6C23"/>
    <w:rsid w:val="00FD7315"/>
    <w:rsid w:val="00FF20FC"/>
    <w:rsid w:val="00FF2AF4"/>
    <w:rsid w:val="00FF3AA7"/>
    <w:rsid w:val="00FF5D83"/>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D4DAC1"/>
  <w15:docId w15:val="{7BCF37AF-0542-4F56-B988-B96F073C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0B6E16"/>
    <w:rPr>
      <w:sz w:val="16"/>
      <w:szCs w:val="16"/>
    </w:rPr>
  </w:style>
  <w:style w:type="paragraph" w:styleId="CommentText">
    <w:name w:val="annotation text"/>
    <w:basedOn w:val="Normal"/>
    <w:link w:val="CommentTextChar"/>
    <w:uiPriority w:val="99"/>
    <w:semiHidden/>
    <w:unhideWhenUsed/>
    <w:rsid w:val="000B6E16"/>
    <w:pPr>
      <w:spacing w:line="240" w:lineRule="auto"/>
    </w:pPr>
    <w:rPr>
      <w:szCs w:val="20"/>
    </w:rPr>
  </w:style>
  <w:style w:type="character" w:customStyle="1" w:styleId="CommentTextChar">
    <w:name w:val="Comment Text Char"/>
    <w:basedOn w:val="DefaultParagraphFont"/>
    <w:link w:val="CommentText"/>
    <w:uiPriority w:val="99"/>
    <w:semiHidden/>
    <w:rsid w:val="000B6E16"/>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0B6E16"/>
    <w:rPr>
      <w:b/>
      <w:bCs/>
    </w:rPr>
  </w:style>
  <w:style w:type="character" w:customStyle="1" w:styleId="CommentSubjectChar">
    <w:name w:val="Comment Subject Char"/>
    <w:basedOn w:val="CommentTextChar"/>
    <w:link w:val="CommentSubject"/>
    <w:uiPriority w:val="99"/>
    <w:semiHidden/>
    <w:rsid w:val="000B6E16"/>
    <w:rPr>
      <w:rFonts w:ascii="Open Sans" w:hAnsi="Open Sans"/>
      <w:b/>
      <w:bCs/>
      <w:sz w:val="20"/>
      <w:szCs w:val="20"/>
      <w:lang w:val="en-GB"/>
    </w:rPr>
  </w:style>
  <w:style w:type="character" w:styleId="FollowedHyperlink">
    <w:name w:val="FollowedHyperlink"/>
    <w:basedOn w:val="DefaultParagraphFont"/>
    <w:uiPriority w:val="99"/>
    <w:semiHidden/>
    <w:unhideWhenUsed/>
    <w:rsid w:val="00C60AB3"/>
    <w:rPr>
      <w:color w:val="954F72" w:themeColor="followedHyperlink"/>
      <w:u w:val="single"/>
    </w:rPr>
  </w:style>
  <w:style w:type="paragraph" w:customStyle="1" w:styleId="Default">
    <w:name w:val="Default"/>
    <w:rsid w:val="001D3ED7"/>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nvest.eu"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84C9-0B45-48E2-84A0-5821D8D9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2902</Words>
  <Characters>15967</Characters>
  <Application>Microsoft Office Word</Application>
  <DocSecurity>4</DocSecurity>
  <Lines>133</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2018-01-10T09:29:00Z</dcterms:created>
  <dcterms:modified xsi:type="dcterms:W3CDTF">2018-01-10T09:29:00Z</dcterms:modified>
</cp:coreProperties>
</file>